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Types>
</file>

<file path=_rels/.rels><?xml version='1.0' encoding='UTF-8' standalone='no' ?><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Relationship Id="rId1" Type="http://schemas.openxmlformats.org/officeDocument/2006/relationships/officeDocument" Target="word/document.xml"></Relationship><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501" w:rsidRDefault="00A40501" w:rsidP="00C53053">
      <w:pPr>
        <w:pStyle w:val="StandardEinzeilig"/>
        <w:pBdr>
          <w:right w:val="single" w:sz="4" w:space="4" w:color="auto"/>
        </w:pBdr>
        <w:tabs>
          <w:tab w:val="left" w:pos="567"/>
          <w:tab w:val="right" w:pos="8789"/>
        </w:tabs>
        <w:rPr>
          <w:rFonts w:ascii="Helvetica" w:hAnsi="Helvetica"/>
          <w:sz w:val="16"/>
          <w:szCs w:val="16"/>
        </w:rPr>
      </w:pPr>
      <w:r w:rsidRPr="00C53053">
        <w:rPr>
          <w:rFonts w:ascii="Helvetica" w:hAnsi="Helvetica"/>
          <w:b/>
          <w:sz w:val="16"/>
          <w:szCs w:val="16"/>
        </w:rPr>
        <w:t>Teil I/Anlage 3</w:t>
      </w:r>
      <w:r w:rsidR="008D60AC" w:rsidRPr="00C53053">
        <w:rPr>
          <w:rFonts w:ascii="Helvetica" w:hAnsi="Helvetica"/>
          <w:b/>
          <w:sz w:val="16"/>
          <w:szCs w:val="16"/>
        </w:rPr>
        <w:tab/>
      </w:r>
      <w:r w:rsidR="008D60AC" w:rsidRPr="00C53053">
        <w:rPr>
          <w:rFonts w:ascii="Helvetica" w:hAnsi="Helvetica"/>
          <w:sz w:val="16"/>
          <w:szCs w:val="16"/>
        </w:rPr>
        <w:t>(ANBest-P)</w:t>
      </w:r>
    </w:p>
    <w:p w:rsidR="00F36625" w:rsidRPr="00C53053" w:rsidRDefault="00F36625" w:rsidP="00C53053">
      <w:pPr>
        <w:pStyle w:val="StandardEinzeilig"/>
        <w:pBdr>
          <w:right w:val="single" w:sz="4" w:space="4" w:color="auto"/>
        </w:pBdr>
        <w:tabs>
          <w:tab w:val="left" w:pos="567"/>
          <w:tab w:val="right" w:pos="8789"/>
        </w:tabs>
        <w:rPr>
          <w:rFonts w:ascii="Helvetica" w:hAnsi="Helvetica"/>
          <w:b/>
          <w:sz w:val="16"/>
          <w:szCs w:val="16"/>
        </w:rPr>
      </w:pPr>
    </w:p>
    <w:p w:rsidR="00A40501" w:rsidRPr="00C53053" w:rsidRDefault="00A40501" w:rsidP="00C53053">
      <w:pPr>
        <w:pStyle w:val="StandardEinzeilig"/>
        <w:pBdr>
          <w:right w:val="single" w:sz="4" w:space="4" w:color="auto"/>
        </w:pBdr>
        <w:tabs>
          <w:tab w:val="left" w:pos="567"/>
        </w:tabs>
        <w:jc w:val="center"/>
        <w:rPr>
          <w:rFonts w:ascii="Helvetica" w:hAnsi="Helvetica"/>
          <w:b/>
          <w:sz w:val="16"/>
          <w:szCs w:val="16"/>
        </w:rPr>
      </w:pPr>
      <w:r w:rsidRPr="00C53053">
        <w:rPr>
          <w:rFonts w:ascii="Helvetica" w:hAnsi="Helvetica"/>
          <w:b/>
          <w:sz w:val="16"/>
          <w:szCs w:val="16"/>
        </w:rPr>
        <w:t>Allgemeine Nebenbestimmungen für Zuwendungen</w:t>
      </w:r>
    </w:p>
    <w:p w:rsidR="00A40501" w:rsidRPr="00C53053" w:rsidRDefault="00A40501" w:rsidP="00C53053">
      <w:pPr>
        <w:pStyle w:val="StandardEinzeilig"/>
        <w:pBdr>
          <w:right w:val="single" w:sz="4" w:space="4" w:color="auto"/>
        </w:pBdr>
        <w:tabs>
          <w:tab w:val="left" w:pos="567"/>
        </w:tabs>
        <w:spacing w:after="120"/>
        <w:jc w:val="center"/>
        <w:rPr>
          <w:rFonts w:ascii="Helvetica" w:hAnsi="Helvetica"/>
          <w:sz w:val="16"/>
          <w:szCs w:val="16"/>
        </w:rPr>
      </w:pPr>
      <w:r w:rsidRPr="00C53053">
        <w:rPr>
          <w:rFonts w:ascii="Helvetica" w:hAnsi="Helvetica"/>
          <w:b/>
          <w:sz w:val="16"/>
          <w:szCs w:val="16"/>
        </w:rPr>
        <w:t>zur Projektförderung</w:t>
      </w:r>
      <w:r w:rsidR="00C53053">
        <w:rPr>
          <w:rFonts w:ascii="Helvetica" w:hAnsi="Helvetica"/>
          <w:b/>
          <w:sz w:val="16"/>
          <w:szCs w:val="16"/>
        </w:rPr>
        <w:t xml:space="preserve"> </w:t>
      </w:r>
      <w:r w:rsidRPr="00C53053">
        <w:rPr>
          <w:rFonts w:ascii="Helvetica" w:hAnsi="Helvetica"/>
          <w:sz w:val="16"/>
          <w:szCs w:val="16"/>
        </w:rPr>
        <w:t>(ANBest</w:t>
      </w:r>
      <w:r w:rsidRPr="00C53053">
        <w:rPr>
          <w:rFonts w:ascii="Helvetica" w:hAnsi="Helvetica"/>
          <w:sz w:val="16"/>
          <w:szCs w:val="16"/>
        </w:rPr>
        <w:noBreakHyphen/>
        <w:t>P)</w:t>
      </w:r>
    </w:p>
    <w:p w:rsidR="00A40501" w:rsidRPr="00C53053" w:rsidRDefault="00A40501" w:rsidP="00C53053">
      <w:pPr>
        <w:pStyle w:val="StandardEinzeilig"/>
        <w:pBdr>
          <w:right w:val="single" w:sz="4" w:space="4" w:color="auto"/>
        </w:pBdr>
        <w:tabs>
          <w:tab w:val="left" w:pos="567"/>
        </w:tabs>
        <w:spacing w:after="120"/>
        <w:jc w:val="both"/>
        <w:rPr>
          <w:rFonts w:ascii="Helvetica" w:hAnsi="Helvetica"/>
          <w:sz w:val="16"/>
          <w:szCs w:val="16"/>
        </w:rPr>
      </w:pPr>
      <w:r w:rsidRPr="00C53053">
        <w:rPr>
          <w:rFonts w:ascii="Helvetica" w:hAnsi="Helvetica"/>
          <w:sz w:val="16"/>
          <w:szCs w:val="16"/>
        </w:rPr>
        <w:t>Die ANBest</w:t>
      </w:r>
      <w:r w:rsidRPr="00C53053">
        <w:rPr>
          <w:rFonts w:ascii="Helvetica" w:hAnsi="Helvetica"/>
          <w:sz w:val="16"/>
          <w:szCs w:val="16"/>
        </w:rPr>
        <w:noBreakHyphen/>
        <w:t>P enthalten Nebenbestimmungen (Bedingungen und Auflagen) i.S. des § 36 des Verwaltungsverfahrensgesetzes (VwVfG) sowie notwendige Erläuterungen. Die Nebenbestimmungen sind Bestandteil des Zuwendungsbescheides, soweit dort nicht ausdrücklich etwas anderes bestimmt ist.</w:t>
      </w:r>
    </w:p>
    <w:p w:rsidR="00A40501" w:rsidRPr="00C53053" w:rsidRDefault="00A40501" w:rsidP="00C53053">
      <w:pPr>
        <w:pStyle w:val="StandardEinzeilig"/>
        <w:pBdr>
          <w:right w:val="single" w:sz="4" w:space="4" w:color="auto"/>
        </w:pBdr>
        <w:tabs>
          <w:tab w:val="left" w:pos="567"/>
        </w:tabs>
        <w:spacing w:after="120"/>
        <w:jc w:val="center"/>
        <w:rPr>
          <w:rFonts w:ascii="Helvetica" w:hAnsi="Helvetica"/>
          <w:b/>
          <w:spacing w:val="20"/>
          <w:sz w:val="16"/>
          <w:szCs w:val="16"/>
        </w:rPr>
      </w:pPr>
      <w:r w:rsidRPr="00C53053">
        <w:rPr>
          <w:rFonts w:ascii="Helvetica" w:hAnsi="Helvetica"/>
          <w:b/>
          <w:spacing w:val="20"/>
          <w:sz w:val="16"/>
          <w:szCs w:val="16"/>
        </w:rPr>
        <w:t>Inhalt</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Nr. 1</w:t>
      </w:r>
      <w:r w:rsidRPr="00C53053">
        <w:rPr>
          <w:rFonts w:ascii="Helvetica" w:hAnsi="Helvetica"/>
          <w:sz w:val="16"/>
          <w:szCs w:val="16"/>
        </w:rPr>
        <w:tab/>
        <w:t>Anforderung und Verwendung der Zuwendung</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Nr. 2</w:t>
      </w:r>
      <w:r w:rsidRPr="00C53053">
        <w:rPr>
          <w:rFonts w:ascii="Helvetica" w:hAnsi="Helvetica"/>
          <w:sz w:val="16"/>
          <w:szCs w:val="16"/>
        </w:rPr>
        <w:tab/>
        <w:t>Nachträgliche Ermäßigung der Ausgaben oder Änderung der Finanzierung</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Nr. 3</w:t>
      </w:r>
      <w:r w:rsidRPr="00C53053">
        <w:rPr>
          <w:rFonts w:ascii="Helvetica" w:hAnsi="Helvetica"/>
          <w:sz w:val="16"/>
          <w:szCs w:val="16"/>
        </w:rPr>
        <w:tab/>
        <w:t>Vergabe von Aufträgen, Ausführung von Baumaßnahmen</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Nr. 4</w:t>
      </w:r>
      <w:r w:rsidRPr="00C53053">
        <w:rPr>
          <w:rFonts w:ascii="Helvetica" w:hAnsi="Helvetica"/>
          <w:sz w:val="16"/>
          <w:szCs w:val="16"/>
        </w:rPr>
        <w:tab/>
        <w:t>Zur Erfüllung des Zuwendungszwecks beschaffte Gegenstände</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Nr. 5</w:t>
      </w:r>
      <w:r w:rsidRPr="00C53053">
        <w:rPr>
          <w:rFonts w:ascii="Helvetica" w:hAnsi="Helvetica"/>
          <w:sz w:val="16"/>
          <w:szCs w:val="16"/>
        </w:rPr>
        <w:tab/>
        <w:t>Mitteilungspflichten des Zuwendungsempfängers</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Nr. 6</w:t>
      </w:r>
      <w:r w:rsidRPr="00C53053">
        <w:rPr>
          <w:rFonts w:ascii="Helvetica" w:hAnsi="Helvetica"/>
          <w:sz w:val="16"/>
          <w:szCs w:val="16"/>
        </w:rPr>
        <w:tab/>
        <w:t>Baurechnung</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Nr. 7</w:t>
      </w:r>
      <w:r w:rsidRPr="00C53053">
        <w:rPr>
          <w:rFonts w:ascii="Helvetica" w:hAnsi="Helvetica"/>
          <w:sz w:val="16"/>
          <w:szCs w:val="16"/>
        </w:rPr>
        <w:tab/>
        <w:t>Nachweis der Verwendung</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Nr. 8</w:t>
      </w:r>
      <w:r w:rsidRPr="00C53053">
        <w:rPr>
          <w:rFonts w:ascii="Helvetica" w:hAnsi="Helvetica"/>
          <w:sz w:val="16"/>
          <w:szCs w:val="16"/>
        </w:rPr>
        <w:tab/>
        <w:t>Prüfung der Verwendung</w:t>
      </w:r>
    </w:p>
    <w:p w:rsidR="00A40501" w:rsidRPr="00C53053" w:rsidRDefault="00A40501" w:rsidP="00C53053">
      <w:pPr>
        <w:pStyle w:val="GliederungA"/>
        <w:pBdr>
          <w:right w:val="single" w:sz="4" w:space="4" w:color="auto"/>
        </w:pBdr>
        <w:spacing w:after="120" w:line="240" w:lineRule="auto"/>
        <w:ind w:left="426" w:hanging="426"/>
        <w:rPr>
          <w:rFonts w:ascii="Helvetica" w:hAnsi="Helvetica"/>
          <w:sz w:val="16"/>
          <w:szCs w:val="16"/>
        </w:rPr>
      </w:pPr>
      <w:r w:rsidRPr="00C53053">
        <w:rPr>
          <w:rFonts w:ascii="Helvetica" w:hAnsi="Helvetica"/>
          <w:sz w:val="16"/>
          <w:szCs w:val="16"/>
        </w:rPr>
        <w:t>Nr. 9</w:t>
      </w:r>
      <w:r w:rsidRPr="00C53053">
        <w:rPr>
          <w:rFonts w:ascii="Helvetica" w:hAnsi="Helvetica"/>
          <w:sz w:val="16"/>
          <w:szCs w:val="16"/>
        </w:rPr>
        <w:tab/>
        <w:t>Erstattung der Zuwendung, Verzinsung</w:t>
      </w:r>
    </w:p>
    <w:p w:rsidR="00A40501" w:rsidRPr="00C53053" w:rsidRDefault="00A40501" w:rsidP="00C53053">
      <w:pPr>
        <w:pStyle w:val="GliederungA"/>
        <w:pBdr>
          <w:right w:val="single" w:sz="4" w:space="4" w:color="auto"/>
        </w:pBdr>
        <w:spacing w:line="240" w:lineRule="auto"/>
        <w:ind w:left="426" w:hanging="426"/>
        <w:rPr>
          <w:rFonts w:ascii="Helvetica" w:hAnsi="Helvetica"/>
          <w:b/>
          <w:sz w:val="16"/>
          <w:szCs w:val="16"/>
        </w:rPr>
      </w:pPr>
      <w:r w:rsidRPr="00C53053">
        <w:rPr>
          <w:rFonts w:ascii="Helvetica" w:hAnsi="Helvetica"/>
          <w:b/>
          <w:sz w:val="16"/>
          <w:szCs w:val="16"/>
        </w:rPr>
        <w:t>1</w:t>
      </w:r>
      <w:r w:rsidRPr="00C53053">
        <w:rPr>
          <w:rFonts w:ascii="Helvetica" w:hAnsi="Helvetica"/>
          <w:b/>
          <w:sz w:val="16"/>
          <w:szCs w:val="16"/>
        </w:rPr>
        <w:tab/>
        <w:t>Anforderung und Verwendung der Zuwendung</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1.1</w:t>
      </w:r>
      <w:r w:rsidRPr="00C53053">
        <w:rPr>
          <w:rFonts w:ascii="Helvetica" w:hAnsi="Helvetica"/>
          <w:sz w:val="16"/>
          <w:szCs w:val="16"/>
        </w:rPr>
        <w:tab/>
        <w:t>Die Zuwendung darf nur zur Erfüllung des im Zuwendungsbescheid bestimmten Zwecks verwendet werden. Der Zuwendungsbescheid kann mit Wirkung für die Zukunft widerrufen werden, wenn sich herausstellt, dass der Zuwendungszweck nicht zu erreichen ist. Die Zuwendung ist wirtschaftlich und sparsam zu verwenden.</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1.2</w:t>
      </w:r>
      <w:r w:rsidRPr="00C53053">
        <w:rPr>
          <w:rFonts w:ascii="Helvetica" w:hAnsi="Helvetica"/>
          <w:sz w:val="16"/>
          <w:szCs w:val="16"/>
        </w:rPr>
        <w:tab/>
        <w:t>Alle mit dem Zuwendungszweck zusammenhängenden Einnahmen (Zuwendungen, Leistungen Dritter) und der Eigenanteil des Zuwendungsempfängers sind als Deckungsmittel für alle mit dem Zuwendungszweck zusammenhängenden Ausgaben einzusetzen. Der Finanzierungsplan ist hinsichtlich des Gesamtergebnisses verbindlich. Die Einzelansätze dürfen bis zu 20 vom Hundert überschritten werden, soweit die Überschreitung durch entsprechende Einsparungen bei anderen Einzelansätzen ausgeglichen werden kann. Beruht die Überschreitung eines Einzelansatzes auf behördlichen Bedingungen oder Auflagen, insbesondere im Rahmen des baurechtlichen Verfahrens, sind innerhalb des Gesamtergebnisses des Finanzierungsplans auch weitergehende Abweichungen zulässig. Die Sätze 2 bis 4 finden bei der Festbetragsfinanzierung keine Anwendung.</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1.3</w:t>
      </w:r>
      <w:r w:rsidRPr="00C53053">
        <w:rPr>
          <w:rFonts w:ascii="Helvetica" w:hAnsi="Helvetica"/>
          <w:sz w:val="16"/>
          <w:szCs w:val="16"/>
        </w:rPr>
        <w:tab/>
        <w:t>Dürfen aus der Zuwendung auch Personalausgaben oder sächliche Verwaltungsausgaben geleistet werden und werden die Gesamtausgaben des Zuwendungsempfängers überwiegend aus Zuwendungen der öffentlichen Hand bestritten, darf der Zuwendungsempfänger seine Beschäftigten finanziell nicht besser stellen als vergleichbare Landesbedienstete. Höhere Entgelte als nach dem Tarifvertrag für den öffentlichen Dienst der Länder (TV-L) sowie sonstige über- oder außertarifliche Leistungen dürfen nicht gewährt werden.</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1.4</w:t>
      </w:r>
      <w:r w:rsidRPr="00C53053">
        <w:rPr>
          <w:rFonts w:ascii="Helvetica" w:hAnsi="Helvetica"/>
          <w:sz w:val="16"/>
          <w:szCs w:val="16"/>
        </w:rPr>
        <w:tab/>
        <w:t>Die Zuwendung darf nur insoweit und nicht eher angefordert werden, als sie innerhalb von zwei Monaten nach der Auszahlung für fällige Zahlungen benötigt wird. Die Anforderung jedes Teilbetrages muss die zur Beurteilung des Mittelbedarfs erforderlichen Angaben enthalten. Im Übrigen darf die Zuwendung wie folgt in Anspruch genommen werden:</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1.4.1</w:t>
      </w:r>
      <w:r w:rsidRPr="00C53053">
        <w:rPr>
          <w:rFonts w:ascii="Helvetica" w:hAnsi="Helvetica"/>
          <w:sz w:val="16"/>
          <w:szCs w:val="16"/>
        </w:rPr>
        <w:tab/>
        <w:t>bei Festbetrags- oder Anteilfinanzierung jeweils anteilig mit etwaigen Zuwendungen anderer Zuwendungsgeber und den vorgesehenen eigenen und sonstigen Mitteln des Zuwendungsempfängers,</w:t>
      </w:r>
    </w:p>
    <w:p w:rsidR="00A40501" w:rsidRPr="00C53053" w:rsidRDefault="00A40501" w:rsidP="00C53053">
      <w:pPr>
        <w:pStyle w:val="GliederungA"/>
        <w:pBdr>
          <w:right w:val="single" w:sz="4" w:space="4" w:color="auto"/>
        </w:pBdr>
        <w:spacing w:after="120" w:line="240" w:lineRule="auto"/>
        <w:ind w:left="426" w:hanging="426"/>
        <w:rPr>
          <w:rFonts w:ascii="Helvetica" w:hAnsi="Helvetica"/>
          <w:sz w:val="16"/>
          <w:szCs w:val="16"/>
        </w:rPr>
      </w:pPr>
      <w:r w:rsidRPr="00C53053">
        <w:rPr>
          <w:rFonts w:ascii="Helvetica" w:hAnsi="Helvetica"/>
          <w:sz w:val="16"/>
          <w:szCs w:val="16"/>
        </w:rPr>
        <w:t>1.4.2</w:t>
      </w:r>
      <w:r w:rsidRPr="00C53053">
        <w:rPr>
          <w:rFonts w:ascii="Helvetica" w:hAnsi="Helvetica"/>
          <w:sz w:val="16"/>
          <w:szCs w:val="16"/>
        </w:rPr>
        <w:tab/>
        <w:t>bei Fehlbedarfsfinanzierung, wenn die vorgesehenen eigenen und sonstigen Mittel des Zuwendungsempfängers verbraucht sind, gegebenenfalls anteilig mit den Zuwendungen anderer Zuwendungsgeber.</w:t>
      </w:r>
    </w:p>
    <w:p w:rsidR="00A40501" w:rsidRPr="00C53053" w:rsidRDefault="00A40501" w:rsidP="00C53053">
      <w:pPr>
        <w:pStyle w:val="GliederungA"/>
        <w:pBdr>
          <w:right w:val="single" w:sz="4" w:space="4" w:color="auto"/>
        </w:pBdr>
        <w:spacing w:line="240" w:lineRule="auto"/>
        <w:ind w:left="426" w:hanging="426"/>
        <w:rPr>
          <w:rFonts w:ascii="Helvetica" w:hAnsi="Helvetica"/>
          <w:b/>
          <w:sz w:val="16"/>
          <w:szCs w:val="16"/>
        </w:rPr>
      </w:pPr>
      <w:r w:rsidRPr="00C53053">
        <w:rPr>
          <w:rFonts w:ascii="Helvetica" w:hAnsi="Helvetica"/>
          <w:b/>
          <w:sz w:val="16"/>
          <w:szCs w:val="16"/>
        </w:rPr>
        <w:t>2</w:t>
      </w:r>
      <w:r w:rsidRPr="00C53053">
        <w:rPr>
          <w:rFonts w:ascii="Helvetica" w:hAnsi="Helvetica"/>
          <w:b/>
          <w:sz w:val="16"/>
          <w:szCs w:val="16"/>
        </w:rPr>
        <w:tab/>
        <w:t>Nachträgliche Ermäßigung der Ausgaben oder Änderung der Finanzierung</w:t>
      </w:r>
    </w:p>
    <w:p w:rsidR="005D781A"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2.1</w:t>
      </w:r>
      <w:r w:rsidRPr="00C53053">
        <w:rPr>
          <w:rFonts w:ascii="Helvetica" w:hAnsi="Helvetica"/>
          <w:sz w:val="16"/>
          <w:szCs w:val="16"/>
        </w:rPr>
        <w:tab/>
        <w:t xml:space="preserve">Ermäßigen sich nach der Bewilligung die in dem Finanzierungsplan veranschlagten Gesamtausgaben für den Zuwendungszweck, erhöhen sich die Finanzierungsmittel oder treten neue Finanzierungsmittel hinzu, so ermäßigt sich die </w:t>
      </w:r>
      <w:r w:rsidRPr="00C53053">
        <w:rPr>
          <w:rFonts w:ascii="Helvetica" w:hAnsi="Helvetica"/>
          <w:sz w:val="16"/>
          <w:szCs w:val="16"/>
        </w:rPr>
        <w:t>Zuwendung bei Anteilfinanzierung anteilig mit etwaigen Zuwendungen anderer Zuwendungsgeber und den vorgesehenen eigenen und sonstigen Mitteln des Zuwendungsempfängers sowie bei Fehlbedarfs- und Vollfinanzierung um den vollen in Betracht kommenden Betrag.</w:t>
      </w:r>
    </w:p>
    <w:p w:rsidR="00A40501" w:rsidRPr="00C53053" w:rsidRDefault="00A40501" w:rsidP="00C53053">
      <w:pPr>
        <w:pStyle w:val="GliederungA"/>
        <w:pBdr>
          <w:right w:val="single" w:sz="4" w:space="4" w:color="auto"/>
        </w:pBdr>
        <w:spacing w:after="120" w:line="240" w:lineRule="auto"/>
        <w:ind w:left="426" w:hanging="426"/>
        <w:rPr>
          <w:rFonts w:ascii="Helvetica" w:hAnsi="Helvetica"/>
          <w:sz w:val="16"/>
          <w:szCs w:val="16"/>
        </w:rPr>
      </w:pPr>
      <w:r w:rsidRPr="00C53053">
        <w:rPr>
          <w:rFonts w:ascii="Helvetica" w:hAnsi="Helvetica"/>
          <w:sz w:val="16"/>
          <w:szCs w:val="16"/>
        </w:rPr>
        <w:t>2.2</w:t>
      </w:r>
      <w:r w:rsidRPr="00C53053">
        <w:rPr>
          <w:rFonts w:ascii="Helvetica" w:hAnsi="Helvetica"/>
          <w:sz w:val="16"/>
          <w:szCs w:val="16"/>
        </w:rPr>
        <w:tab/>
        <w:t>Dies gilt nur, wenn sich die Gesamtausgaben oder die Finanzierungsmittel um mehr als 500 EUR ändern (ausgenommen bei Vollfinanzierung und bei wiederkehrender Förderung desselben Zuwendungszwecks).</w:t>
      </w:r>
    </w:p>
    <w:p w:rsidR="00A40501" w:rsidRPr="008973BA" w:rsidRDefault="00A40501" w:rsidP="00C53053">
      <w:pPr>
        <w:pStyle w:val="GliederungA"/>
        <w:pBdr>
          <w:right w:val="single" w:sz="4" w:space="4" w:color="auto"/>
        </w:pBdr>
        <w:spacing w:line="240" w:lineRule="auto"/>
        <w:ind w:left="426" w:hanging="426"/>
        <w:rPr>
          <w:rFonts w:ascii="Helvetica" w:hAnsi="Helvetica"/>
          <w:b/>
          <w:sz w:val="16"/>
          <w:szCs w:val="16"/>
        </w:rPr>
      </w:pPr>
      <w:r w:rsidRPr="008973BA">
        <w:rPr>
          <w:rFonts w:ascii="Helvetica" w:hAnsi="Helvetica"/>
          <w:b/>
          <w:sz w:val="16"/>
          <w:szCs w:val="16"/>
        </w:rPr>
        <w:t>3</w:t>
      </w:r>
      <w:r w:rsidRPr="008973BA">
        <w:rPr>
          <w:rFonts w:ascii="Helvetica" w:hAnsi="Helvetica"/>
          <w:b/>
          <w:sz w:val="16"/>
          <w:szCs w:val="16"/>
        </w:rPr>
        <w:tab/>
        <w:t>Vergabe von Aufträgen, Ausführung von Baumaßnahmen</w:t>
      </w:r>
    </w:p>
    <w:p w:rsidR="008973BA" w:rsidRPr="008973BA" w:rsidRDefault="008973BA" w:rsidP="008973BA">
      <w:pPr>
        <w:pStyle w:val="GliederungA"/>
        <w:pBdr>
          <w:right w:val="single" w:sz="4" w:space="4" w:color="auto"/>
        </w:pBdr>
        <w:spacing w:line="240" w:lineRule="auto"/>
        <w:ind w:left="426" w:hanging="426"/>
        <w:rPr>
          <w:rFonts w:ascii="Helvetica" w:hAnsi="Helvetica"/>
          <w:sz w:val="16"/>
          <w:szCs w:val="16"/>
        </w:rPr>
      </w:pPr>
      <w:r>
        <w:rPr>
          <w:rFonts w:ascii="Helvetica" w:hAnsi="Helvetica"/>
          <w:sz w:val="16"/>
          <w:szCs w:val="16"/>
        </w:rPr>
        <w:t>3.1.</w:t>
      </w:r>
      <w:r>
        <w:rPr>
          <w:rFonts w:ascii="Helvetica" w:hAnsi="Helvetica"/>
          <w:sz w:val="16"/>
          <w:szCs w:val="16"/>
        </w:rPr>
        <w:tab/>
        <w:t>A</w:t>
      </w:r>
      <w:r w:rsidRPr="008973BA">
        <w:rPr>
          <w:rFonts w:ascii="Helvetica" w:hAnsi="Helvetica"/>
          <w:sz w:val="16"/>
          <w:szCs w:val="16"/>
        </w:rPr>
        <w:t>ufträge dürfen nur an fachkundige und leistungsfähige Anbieter nach wettbewerblichen Gesichtspunkten zu wirtschaftlichen Bedingungen vergeben werden. Soweit möglich, sind dazu mindestens drei geeignete Unternehmen zur Abgabe eines Angebots aufzufordern. Aufträge bis zu einem geschätzten Auftragswert von 3 000 EUR (ohne Umsatzsteuer) können direkt vergeben werden. Verfahren und Ergebnisse sind zu</w:t>
      </w:r>
      <w:r>
        <w:rPr>
          <w:rFonts w:ascii="Helvetica" w:hAnsi="Helvetica"/>
          <w:sz w:val="16"/>
          <w:szCs w:val="16"/>
        </w:rPr>
        <w:t xml:space="preserve"> </w:t>
      </w:r>
      <w:r w:rsidRPr="008973BA">
        <w:rPr>
          <w:rFonts w:ascii="Helvetica" w:hAnsi="Helvetica"/>
          <w:sz w:val="16"/>
          <w:szCs w:val="16"/>
        </w:rPr>
        <w:t>dokumentieren.</w:t>
      </w:r>
    </w:p>
    <w:p w:rsidR="008973BA"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3.</w:t>
      </w:r>
      <w:r w:rsidR="008973BA">
        <w:rPr>
          <w:rFonts w:ascii="Helvetica" w:hAnsi="Helvetica"/>
          <w:sz w:val="16"/>
          <w:szCs w:val="16"/>
        </w:rPr>
        <w:t>2</w:t>
      </w:r>
      <w:r w:rsidR="008973BA">
        <w:rPr>
          <w:rFonts w:ascii="Helvetica" w:hAnsi="Helvetica"/>
          <w:sz w:val="16"/>
          <w:szCs w:val="16"/>
        </w:rPr>
        <w:tab/>
      </w:r>
      <w:r w:rsidR="008973BA" w:rsidRPr="008973BA">
        <w:rPr>
          <w:rFonts w:ascii="Helvetica" w:hAnsi="Helvetica"/>
          <w:sz w:val="16"/>
          <w:szCs w:val="16"/>
        </w:rPr>
        <w:t>Wenn die Zuwendung oder bei der Finanzierung durch mehrere Stellen der Gesamtbetrag der Zuwendung mehr als 250 000 EUR beträgt, sind folgende Vorschriften in der jeweils geltenden Fassung anzuwenden</w:t>
      </w:r>
      <w:r w:rsidRPr="00C53053">
        <w:rPr>
          <w:rFonts w:ascii="Helvetica" w:hAnsi="Helvetica"/>
          <w:sz w:val="16"/>
          <w:szCs w:val="16"/>
        </w:rPr>
        <w:t xml:space="preserve">der </w:t>
      </w:r>
    </w:p>
    <w:p w:rsidR="008973BA" w:rsidRPr="008973BA" w:rsidRDefault="008973BA" w:rsidP="008973BA">
      <w:pPr>
        <w:pStyle w:val="GliederungA"/>
        <w:pBdr>
          <w:right w:val="single" w:sz="4" w:space="4" w:color="auto"/>
        </w:pBdr>
        <w:spacing w:line="240" w:lineRule="auto"/>
        <w:ind w:left="426" w:hanging="426"/>
        <w:rPr>
          <w:rFonts w:ascii="Helvetica" w:hAnsi="Helvetica"/>
          <w:sz w:val="16"/>
          <w:szCs w:val="16"/>
        </w:rPr>
      </w:pPr>
      <w:r>
        <w:rPr>
          <w:rFonts w:ascii="Helvetica" w:hAnsi="Helvetica"/>
          <w:sz w:val="16"/>
          <w:szCs w:val="16"/>
        </w:rPr>
        <w:t>3.2.1</w:t>
      </w:r>
      <w:r>
        <w:rPr>
          <w:rFonts w:ascii="Helvetica" w:hAnsi="Helvetica"/>
          <w:sz w:val="16"/>
          <w:szCs w:val="16"/>
        </w:rPr>
        <w:tab/>
        <w:t xml:space="preserve">bei der </w:t>
      </w:r>
      <w:r w:rsidR="00A40501" w:rsidRPr="00C53053">
        <w:rPr>
          <w:rFonts w:ascii="Helvetica" w:hAnsi="Helvetica"/>
          <w:sz w:val="16"/>
          <w:szCs w:val="16"/>
        </w:rPr>
        <w:t xml:space="preserve">Vergabe </w:t>
      </w:r>
      <w:r w:rsidRPr="008973BA">
        <w:rPr>
          <w:rFonts w:ascii="Helvetica" w:hAnsi="Helvetica"/>
          <w:sz w:val="16"/>
          <w:szCs w:val="16"/>
        </w:rPr>
        <w:t xml:space="preserve">von Aufträgen für Liefer- und Dienstleistungen die Verfahrensordnung für die Vergabe öffentlicher Liefer- und Dienstleistungsaufträge unterhalb der EU-Schwellenwerte (Unterschwellen- </w:t>
      </w:r>
      <w:proofErr w:type="spellStart"/>
      <w:r w:rsidRPr="008973BA">
        <w:rPr>
          <w:rFonts w:ascii="Helvetica" w:hAnsi="Helvetica"/>
          <w:sz w:val="16"/>
          <w:szCs w:val="16"/>
        </w:rPr>
        <w:t>vergabeordnung</w:t>
      </w:r>
      <w:proofErr w:type="spellEnd"/>
      <w:r w:rsidRPr="008973BA">
        <w:rPr>
          <w:rFonts w:ascii="Helvetica" w:hAnsi="Helvetica"/>
          <w:sz w:val="16"/>
          <w:szCs w:val="16"/>
        </w:rPr>
        <w:t xml:space="preserve"> – </w:t>
      </w:r>
      <w:proofErr w:type="spellStart"/>
      <w:r w:rsidRPr="008973BA">
        <w:rPr>
          <w:rFonts w:ascii="Helvetica" w:hAnsi="Helvetica"/>
          <w:sz w:val="16"/>
          <w:szCs w:val="16"/>
        </w:rPr>
        <w:t>UVgO</w:t>
      </w:r>
      <w:proofErr w:type="spellEnd"/>
      <w:r w:rsidRPr="008973BA">
        <w:rPr>
          <w:rFonts w:ascii="Helvetica" w:hAnsi="Helvetica"/>
          <w:sz w:val="16"/>
          <w:szCs w:val="16"/>
        </w:rPr>
        <w:t>); mit Ausnahme folgender Bestimmungen:</w:t>
      </w:r>
    </w:p>
    <w:p w:rsidR="008973BA" w:rsidRPr="008973BA" w:rsidRDefault="008973BA" w:rsidP="008973BA">
      <w:pPr>
        <w:pStyle w:val="GliederungA"/>
        <w:pBdr>
          <w:right w:val="single" w:sz="4" w:space="4" w:color="auto"/>
        </w:pBdr>
        <w:spacing w:line="240" w:lineRule="auto"/>
        <w:ind w:left="426" w:hanging="426"/>
        <w:rPr>
          <w:rFonts w:ascii="Helvetica" w:hAnsi="Helvetica"/>
          <w:sz w:val="16"/>
          <w:szCs w:val="16"/>
        </w:rPr>
      </w:pPr>
    </w:p>
    <w:p w:rsidR="008973BA" w:rsidRPr="008973BA" w:rsidRDefault="008973BA" w:rsidP="008973BA">
      <w:pPr>
        <w:pStyle w:val="GliederungA"/>
        <w:pBdr>
          <w:right w:val="single" w:sz="4" w:space="4" w:color="auto"/>
        </w:pBdr>
        <w:spacing w:line="240" w:lineRule="auto"/>
        <w:ind w:left="426" w:hanging="426"/>
        <w:rPr>
          <w:rFonts w:ascii="Helvetica" w:hAnsi="Helvetica"/>
          <w:sz w:val="16"/>
          <w:szCs w:val="16"/>
        </w:rPr>
      </w:pPr>
      <w:r w:rsidRPr="008973BA">
        <w:rPr>
          <w:rFonts w:ascii="Helvetica" w:hAnsi="Helvetica"/>
          <w:sz w:val="16"/>
          <w:szCs w:val="16"/>
        </w:rPr>
        <w:t>-</w:t>
      </w:r>
      <w:r w:rsidRPr="008973BA">
        <w:rPr>
          <w:rFonts w:ascii="Helvetica" w:hAnsi="Helvetica"/>
          <w:sz w:val="16"/>
          <w:szCs w:val="16"/>
        </w:rPr>
        <w:tab/>
        <w:t>§ 22 zur Aufteilung nach Losen,</w:t>
      </w:r>
    </w:p>
    <w:p w:rsidR="008973BA" w:rsidRPr="008973BA" w:rsidRDefault="008973BA" w:rsidP="008973BA">
      <w:pPr>
        <w:pStyle w:val="GliederungA"/>
        <w:pBdr>
          <w:right w:val="single" w:sz="4" w:space="4" w:color="auto"/>
        </w:pBdr>
        <w:spacing w:line="240" w:lineRule="auto"/>
        <w:ind w:left="426" w:hanging="426"/>
        <w:rPr>
          <w:rFonts w:ascii="Helvetica" w:hAnsi="Helvetica"/>
          <w:sz w:val="16"/>
          <w:szCs w:val="16"/>
        </w:rPr>
      </w:pPr>
      <w:r w:rsidRPr="008973BA">
        <w:rPr>
          <w:rFonts w:ascii="Helvetica" w:hAnsi="Helvetica"/>
          <w:sz w:val="16"/>
          <w:szCs w:val="16"/>
        </w:rPr>
        <w:t>-</w:t>
      </w:r>
      <w:r w:rsidRPr="008973BA">
        <w:rPr>
          <w:rFonts w:ascii="Helvetica" w:hAnsi="Helvetica"/>
          <w:sz w:val="16"/>
          <w:szCs w:val="16"/>
        </w:rPr>
        <w:tab/>
        <w:t>§ 28 Abs. 1 Satz 3 zur Veröffentlichung von Auftragsbekanntmachungen,</w:t>
      </w:r>
    </w:p>
    <w:p w:rsidR="008973BA" w:rsidRPr="008973BA" w:rsidRDefault="008973BA" w:rsidP="008973BA">
      <w:pPr>
        <w:pStyle w:val="GliederungA"/>
        <w:pBdr>
          <w:right w:val="single" w:sz="4" w:space="4" w:color="auto"/>
        </w:pBdr>
        <w:spacing w:line="240" w:lineRule="auto"/>
        <w:ind w:left="426" w:hanging="426"/>
        <w:rPr>
          <w:rFonts w:ascii="Helvetica" w:hAnsi="Helvetica"/>
          <w:sz w:val="16"/>
          <w:szCs w:val="16"/>
        </w:rPr>
      </w:pPr>
      <w:r w:rsidRPr="008973BA">
        <w:rPr>
          <w:rFonts w:ascii="Helvetica" w:hAnsi="Helvetica"/>
          <w:sz w:val="16"/>
          <w:szCs w:val="16"/>
        </w:rPr>
        <w:t>-</w:t>
      </w:r>
      <w:r w:rsidRPr="008973BA">
        <w:rPr>
          <w:rFonts w:ascii="Helvetica" w:hAnsi="Helvetica"/>
          <w:sz w:val="16"/>
          <w:szCs w:val="16"/>
        </w:rPr>
        <w:tab/>
        <w:t>§ 30 zur Vergabebekanntmachung,</w:t>
      </w:r>
    </w:p>
    <w:p w:rsidR="008973BA" w:rsidRPr="008973BA" w:rsidRDefault="008973BA" w:rsidP="008973BA">
      <w:pPr>
        <w:pStyle w:val="GliederungA"/>
        <w:pBdr>
          <w:right w:val="single" w:sz="4" w:space="4" w:color="auto"/>
        </w:pBdr>
        <w:spacing w:line="240" w:lineRule="auto"/>
        <w:ind w:left="426" w:hanging="426"/>
        <w:rPr>
          <w:rFonts w:ascii="Helvetica" w:hAnsi="Helvetica"/>
          <w:sz w:val="16"/>
          <w:szCs w:val="16"/>
        </w:rPr>
      </w:pPr>
      <w:r w:rsidRPr="008973BA">
        <w:rPr>
          <w:rFonts w:ascii="Helvetica" w:hAnsi="Helvetica"/>
          <w:sz w:val="16"/>
          <w:szCs w:val="16"/>
        </w:rPr>
        <w:t>-</w:t>
      </w:r>
      <w:r w:rsidRPr="008973BA">
        <w:rPr>
          <w:rFonts w:ascii="Helvetica" w:hAnsi="Helvetica"/>
          <w:sz w:val="16"/>
          <w:szCs w:val="16"/>
        </w:rPr>
        <w:tab/>
        <w:t>§ 38 Abs. 2 bis 4 zu Form und Übermittlung der Teilnahmeanträge und Angebote,</w:t>
      </w:r>
    </w:p>
    <w:p w:rsidR="008973BA" w:rsidRPr="008973BA" w:rsidRDefault="008973BA" w:rsidP="008973BA">
      <w:pPr>
        <w:pStyle w:val="GliederungA"/>
        <w:pBdr>
          <w:right w:val="single" w:sz="4" w:space="4" w:color="auto"/>
        </w:pBdr>
        <w:spacing w:line="240" w:lineRule="auto"/>
        <w:ind w:left="426" w:hanging="426"/>
        <w:rPr>
          <w:rFonts w:ascii="Helvetica" w:hAnsi="Helvetica"/>
          <w:sz w:val="16"/>
          <w:szCs w:val="16"/>
        </w:rPr>
      </w:pPr>
      <w:r w:rsidRPr="008973BA">
        <w:rPr>
          <w:rFonts w:ascii="Helvetica" w:hAnsi="Helvetica"/>
          <w:sz w:val="16"/>
          <w:szCs w:val="16"/>
        </w:rPr>
        <w:t>-</w:t>
      </w:r>
      <w:r w:rsidRPr="008973BA">
        <w:rPr>
          <w:rFonts w:ascii="Helvetica" w:hAnsi="Helvetica"/>
          <w:sz w:val="16"/>
          <w:szCs w:val="16"/>
        </w:rPr>
        <w:tab/>
        <w:t>§ 44 zu ungewöhnlich niedrigen Angeboten,</w:t>
      </w:r>
    </w:p>
    <w:p w:rsidR="008973BA" w:rsidRPr="008973BA" w:rsidRDefault="008973BA" w:rsidP="008973BA">
      <w:pPr>
        <w:pStyle w:val="GliederungA"/>
        <w:pBdr>
          <w:right w:val="single" w:sz="4" w:space="4" w:color="auto"/>
        </w:pBdr>
        <w:spacing w:line="240" w:lineRule="auto"/>
        <w:ind w:left="426" w:hanging="426"/>
        <w:rPr>
          <w:rFonts w:ascii="Helvetica" w:hAnsi="Helvetica"/>
          <w:sz w:val="16"/>
          <w:szCs w:val="16"/>
        </w:rPr>
      </w:pPr>
      <w:r w:rsidRPr="008973BA">
        <w:rPr>
          <w:rFonts w:ascii="Helvetica" w:hAnsi="Helvetica"/>
          <w:sz w:val="16"/>
          <w:szCs w:val="16"/>
        </w:rPr>
        <w:t>-</w:t>
      </w:r>
      <w:r w:rsidRPr="008973BA">
        <w:rPr>
          <w:rFonts w:ascii="Helvetica" w:hAnsi="Helvetica"/>
          <w:sz w:val="16"/>
          <w:szCs w:val="16"/>
        </w:rPr>
        <w:tab/>
        <w:t>§ 46 zur Unterrichtung der Bewerber und Bieter;</w:t>
      </w:r>
    </w:p>
    <w:p w:rsidR="008973BA" w:rsidRPr="008973BA" w:rsidRDefault="008973BA" w:rsidP="008973BA">
      <w:pPr>
        <w:pStyle w:val="GliederungA"/>
        <w:pBdr>
          <w:right w:val="single" w:sz="4" w:space="4" w:color="auto"/>
        </w:pBdr>
        <w:spacing w:line="240" w:lineRule="auto"/>
        <w:ind w:left="426" w:hanging="426"/>
        <w:rPr>
          <w:rFonts w:ascii="Helvetica" w:hAnsi="Helvetica"/>
          <w:sz w:val="16"/>
          <w:szCs w:val="16"/>
        </w:rPr>
      </w:pPr>
    </w:p>
    <w:p w:rsidR="008973BA" w:rsidRDefault="008973BA" w:rsidP="008973BA">
      <w:pPr>
        <w:pStyle w:val="GliederungA"/>
        <w:pBdr>
          <w:right w:val="single" w:sz="4" w:space="4" w:color="auto"/>
        </w:pBdr>
        <w:spacing w:line="240" w:lineRule="auto"/>
        <w:ind w:left="426" w:firstLine="0"/>
        <w:rPr>
          <w:rFonts w:ascii="Helvetica" w:hAnsi="Helvetica"/>
          <w:sz w:val="16"/>
          <w:szCs w:val="16"/>
        </w:rPr>
      </w:pPr>
      <w:r w:rsidRPr="008973BA">
        <w:rPr>
          <w:rFonts w:ascii="Helvetica" w:hAnsi="Helvetica"/>
          <w:sz w:val="16"/>
          <w:szCs w:val="16"/>
        </w:rPr>
        <w:t xml:space="preserve">dies gilt abweichend von § 1 Abs. 1 </w:t>
      </w:r>
      <w:proofErr w:type="spellStart"/>
      <w:r w:rsidRPr="008973BA">
        <w:rPr>
          <w:rFonts w:ascii="Helvetica" w:hAnsi="Helvetica"/>
          <w:sz w:val="16"/>
          <w:szCs w:val="16"/>
        </w:rPr>
        <w:t>UVgO</w:t>
      </w:r>
      <w:proofErr w:type="spellEnd"/>
      <w:r w:rsidRPr="008973BA">
        <w:rPr>
          <w:rFonts w:ascii="Helvetica" w:hAnsi="Helvetica"/>
          <w:sz w:val="16"/>
          <w:szCs w:val="16"/>
        </w:rPr>
        <w:t xml:space="preserve"> auch, wenn der geschätzte Auftragswert die Schwellenwerte gemäß § 106 des Gesetzes gegen Wettbewerbsbeschränkungen (GWB) erreicht oder überschreitet und kein Fall der Nummer 3.3 vorliegt;</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3.2</w:t>
      </w:r>
      <w:r w:rsidR="008973BA">
        <w:rPr>
          <w:rFonts w:ascii="Helvetica" w:hAnsi="Helvetica"/>
          <w:sz w:val="16"/>
          <w:szCs w:val="16"/>
        </w:rPr>
        <w:t>.2</w:t>
      </w:r>
      <w:r w:rsidR="008973BA" w:rsidRPr="008973BA">
        <w:t xml:space="preserve"> </w:t>
      </w:r>
      <w:r w:rsidR="008973BA" w:rsidRPr="008973BA">
        <w:rPr>
          <w:rFonts w:ascii="Helvetica" w:hAnsi="Helvetica"/>
          <w:sz w:val="16"/>
          <w:szCs w:val="16"/>
        </w:rPr>
        <w:t>bei der Vergabe von Aufträgen für Bauleistungen Teil A Abschnitt 1 der Vergabe- und Vertragsordnung für Bauleistungen (VOB/A); Nummer 3.2.1 Sat</w:t>
      </w:r>
      <w:r w:rsidR="008973BA">
        <w:rPr>
          <w:rFonts w:ascii="Helvetica" w:hAnsi="Helvetica"/>
          <w:sz w:val="16"/>
          <w:szCs w:val="16"/>
        </w:rPr>
        <w:t>z 2 gilt sinngemäß</w:t>
      </w:r>
      <w:r w:rsidRPr="00C53053">
        <w:rPr>
          <w:rFonts w:ascii="Helvetica" w:hAnsi="Helvetica"/>
          <w:sz w:val="16"/>
          <w:szCs w:val="16"/>
        </w:rPr>
        <w:t>.</w:t>
      </w:r>
    </w:p>
    <w:p w:rsidR="008973BA"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3.3</w:t>
      </w:r>
      <w:r w:rsidRPr="00C53053">
        <w:rPr>
          <w:rFonts w:ascii="Helvetica" w:hAnsi="Helvetica"/>
          <w:sz w:val="16"/>
          <w:szCs w:val="16"/>
        </w:rPr>
        <w:tab/>
      </w:r>
      <w:r w:rsidR="008973BA" w:rsidRPr="008973BA">
        <w:rPr>
          <w:rFonts w:ascii="Helvetica" w:hAnsi="Helvetica"/>
          <w:sz w:val="16"/>
          <w:szCs w:val="16"/>
        </w:rPr>
        <w:t>Verpflichtungen des Zuwendungsempfängers gemäß Teil 4 des Gesetzes gegen Wettbewerbs</w:t>
      </w:r>
      <w:r w:rsidR="008973BA">
        <w:rPr>
          <w:rFonts w:ascii="Helvetica" w:hAnsi="Helvetica"/>
          <w:sz w:val="16"/>
          <w:szCs w:val="16"/>
        </w:rPr>
        <w:t>-</w:t>
      </w:r>
      <w:r w:rsidR="008973BA" w:rsidRPr="008973BA">
        <w:rPr>
          <w:rFonts w:ascii="Helvetica" w:hAnsi="Helvetica"/>
          <w:sz w:val="16"/>
          <w:szCs w:val="16"/>
        </w:rPr>
        <w:t>beschränkungen (GWB) sind zu beachten und gehen den Nummern 3.1 und 3.2 vor</w:t>
      </w:r>
      <w:r w:rsidR="008973BA">
        <w:rPr>
          <w:rFonts w:ascii="Helvetica" w:hAnsi="Helvetica"/>
          <w:sz w:val="16"/>
          <w:szCs w:val="16"/>
        </w:rPr>
        <w:t>.</w:t>
      </w:r>
      <w:r w:rsidR="008973BA" w:rsidRPr="008973BA">
        <w:rPr>
          <w:rFonts w:ascii="Helvetica" w:hAnsi="Helvetica"/>
          <w:sz w:val="16"/>
          <w:szCs w:val="16"/>
        </w:rPr>
        <w:t xml:space="preserve"> </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3.4</w:t>
      </w:r>
      <w:r w:rsidRPr="00C53053">
        <w:rPr>
          <w:rFonts w:ascii="Helvetica" w:hAnsi="Helvetica"/>
          <w:sz w:val="16"/>
          <w:szCs w:val="16"/>
        </w:rPr>
        <w:tab/>
      </w:r>
      <w:r w:rsidR="008973BA">
        <w:rPr>
          <w:rFonts w:ascii="Helvetica" w:hAnsi="Helvetica"/>
          <w:sz w:val="16"/>
          <w:szCs w:val="16"/>
        </w:rPr>
        <w:t xml:space="preserve">Bei </w:t>
      </w:r>
      <w:r w:rsidR="008973BA" w:rsidRPr="008973BA">
        <w:rPr>
          <w:rFonts w:ascii="Helvetica" w:hAnsi="Helvetica"/>
          <w:sz w:val="16"/>
          <w:szCs w:val="16"/>
        </w:rPr>
        <w:t>Baumaßnahmen hat der Zuwendungsempfänger die ihm benannte Bauverwaltung rechtzeitig über die jeweils vorgesehene Vergabeart, den Baubeginn und die Beendigung der Baumaßnahme zu unterrichten</w:t>
      </w:r>
      <w:r w:rsidRPr="00C53053">
        <w:rPr>
          <w:rFonts w:ascii="Helvetica" w:hAnsi="Helvetica"/>
          <w:sz w:val="16"/>
          <w:szCs w:val="16"/>
        </w:rPr>
        <w:t>.</w:t>
      </w:r>
    </w:p>
    <w:p w:rsidR="00A40501" w:rsidRPr="00C53053" w:rsidRDefault="00A40501" w:rsidP="00C53053">
      <w:pPr>
        <w:pStyle w:val="GliederungA"/>
        <w:pBdr>
          <w:right w:val="single" w:sz="4" w:space="4" w:color="auto"/>
        </w:pBdr>
        <w:spacing w:after="120" w:line="240" w:lineRule="auto"/>
        <w:ind w:left="426" w:hanging="426"/>
        <w:rPr>
          <w:rFonts w:ascii="Helvetica" w:hAnsi="Helvetica"/>
          <w:sz w:val="16"/>
          <w:szCs w:val="16"/>
        </w:rPr>
      </w:pPr>
      <w:r w:rsidRPr="00C53053">
        <w:rPr>
          <w:rFonts w:ascii="Helvetica" w:hAnsi="Helvetica"/>
          <w:sz w:val="16"/>
          <w:szCs w:val="16"/>
        </w:rPr>
        <w:t>3.5</w:t>
      </w:r>
      <w:r w:rsidRPr="00C53053">
        <w:rPr>
          <w:rFonts w:ascii="Helvetica" w:hAnsi="Helvetica"/>
          <w:sz w:val="16"/>
          <w:szCs w:val="16"/>
        </w:rPr>
        <w:tab/>
        <w:t>Von den Bauunterlagen darf nur insoweit abgewichen werden, als die Abweichungen nicht erheblich sind. Wenn die Abweichungen zu einer wesentlichen Änderung des Bau- oder Raumprogramms, einer wesentlichen Erhöhung der Betriebskosten oder einer wesentlichen Überschreitung der Baukosten führen, bedürfen sie vor ihrer Ausführung der Zustimmung durch die Bewilligungsbehörde.</w:t>
      </w:r>
    </w:p>
    <w:p w:rsidR="00A40501" w:rsidRPr="00C53053" w:rsidRDefault="00A40501" w:rsidP="00C53053">
      <w:pPr>
        <w:pStyle w:val="GliederungA"/>
        <w:pBdr>
          <w:right w:val="single" w:sz="4" w:space="4" w:color="auto"/>
        </w:pBdr>
        <w:spacing w:line="240" w:lineRule="auto"/>
        <w:ind w:left="426" w:hanging="426"/>
        <w:rPr>
          <w:rFonts w:ascii="Helvetica" w:hAnsi="Helvetica"/>
          <w:b/>
          <w:sz w:val="16"/>
          <w:szCs w:val="16"/>
        </w:rPr>
      </w:pPr>
      <w:r w:rsidRPr="00C53053">
        <w:rPr>
          <w:rFonts w:ascii="Helvetica" w:hAnsi="Helvetica"/>
          <w:b/>
          <w:sz w:val="16"/>
          <w:szCs w:val="16"/>
        </w:rPr>
        <w:t>4</w:t>
      </w:r>
      <w:r w:rsidRPr="00C53053">
        <w:rPr>
          <w:rFonts w:ascii="Helvetica" w:hAnsi="Helvetica"/>
          <w:b/>
          <w:sz w:val="16"/>
          <w:szCs w:val="16"/>
        </w:rPr>
        <w:tab/>
        <w:t>Zur Erfüllung des Zuwendungszwecks beschaffte Gegenstände</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4.1</w:t>
      </w:r>
      <w:r w:rsidRPr="00C53053">
        <w:rPr>
          <w:rFonts w:ascii="Helvetica" w:hAnsi="Helvetica"/>
          <w:sz w:val="16"/>
          <w:szCs w:val="16"/>
        </w:rPr>
        <w:tab/>
        <w:t>Gegenstände, die zur Erfüllung des Zuwendungszwecks erworben oder hergestellt werden, sind für den Zuwendungszweck zu verwenden und sorgfältig zu behandeln. Der Zuwendungsempfänger darf über sie vor Ablauf der im Zuwendungsbescheid festgelegten zeitlichen Bindung nicht anderweitig verfügen.</w:t>
      </w:r>
    </w:p>
    <w:p w:rsidR="00A40501" w:rsidRDefault="00A40501" w:rsidP="00C53053">
      <w:pPr>
        <w:pStyle w:val="GliederungA"/>
        <w:pBdr>
          <w:right w:val="single" w:sz="4" w:space="4" w:color="auto"/>
        </w:pBdr>
        <w:spacing w:after="120" w:line="240" w:lineRule="auto"/>
        <w:ind w:left="426" w:hanging="426"/>
        <w:rPr>
          <w:rFonts w:ascii="Helvetica" w:hAnsi="Helvetica"/>
          <w:sz w:val="16"/>
          <w:szCs w:val="16"/>
        </w:rPr>
      </w:pPr>
      <w:r w:rsidRPr="00C53053">
        <w:rPr>
          <w:rFonts w:ascii="Helvetica" w:hAnsi="Helvetica"/>
          <w:sz w:val="16"/>
          <w:szCs w:val="16"/>
        </w:rPr>
        <w:t>4.2</w:t>
      </w:r>
      <w:r w:rsidRPr="00C53053">
        <w:rPr>
          <w:rFonts w:ascii="Helvetica" w:hAnsi="Helvetica"/>
          <w:sz w:val="16"/>
          <w:szCs w:val="16"/>
        </w:rPr>
        <w:tab/>
        <w:t>Der Zuwendungsempfänger hat die zur Erfüllung des Zuwendungszwecks beschafften Gegenstände, deren Anschaffungs- oder Herstellungswert 400 EUR übersteigt, zu inventarisieren. Soweit aus besonderen Gründen das Land Eigentümer ist oder wird, sind die Gegenstände in dem Inventar besonders zu kennzeichnen.</w:t>
      </w:r>
    </w:p>
    <w:p w:rsidR="008973BA" w:rsidRPr="00C53053" w:rsidRDefault="008973BA" w:rsidP="00C53053">
      <w:pPr>
        <w:pStyle w:val="GliederungA"/>
        <w:pBdr>
          <w:right w:val="single" w:sz="4" w:space="4" w:color="auto"/>
        </w:pBdr>
        <w:spacing w:after="120" w:line="240" w:lineRule="auto"/>
        <w:ind w:left="426" w:hanging="426"/>
        <w:rPr>
          <w:rFonts w:ascii="Helvetica" w:hAnsi="Helvetica"/>
          <w:sz w:val="16"/>
          <w:szCs w:val="16"/>
        </w:rPr>
      </w:pPr>
    </w:p>
    <w:p w:rsidR="00A40501" w:rsidRPr="00C53053" w:rsidRDefault="00A40501" w:rsidP="00C53053">
      <w:pPr>
        <w:pStyle w:val="GliederungA"/>
        <w:pBdr>
          <w:right w:val="single" w:sz="4" w:space="4" w:color="auto"/>
        </w:pBdr>
        <w:spacing w:line="240" w:lineRule="auto"/>
        <w:ind w:left="426" w:hanging="426"/>
        <w:rPr>
          <w:rFonts w:ascii="Helvetica" w:hAnsi="Helvetica"/>
          <w:b/>
          <w:sz w:val="16"/>
          <w:szCs w:val="16"/>
        </w:rPr>
      </w:pPr>
      <w:r w:rsidRPr="00C53053">
        <w:rPr>
          <w:rFonts w:ascii="Helvetica" w:hAnsi="Helvetica"/>
          <w:b/>
          <w:sz w:val="16"/>
          <w:szCs w:val="16"/>
        </w:rPr>
        <w:lastRenderedPageBreak/>
        <w:t>5</w:t>
      </w:r>
      <w:r w:rsidRPr="00C53053">
        <w:rPr>
          <w:rFonts w:ascii="Helvetica" w:hAnsi="Helvetica"/>
          <w:b/>
          <w:sz w:val="16"/>
          <w:szCs w:val="16"/>
        </w:rPr>
        <w:tab/>
        <w:t>Mitteilungspflichten des Zuwendungsempfängers</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ab/>
        <w:t>Der Zuwendungsempfänger ist verpflichtet, unverzüglich der Bewilligungsbehörde anzuzeigen - gegebenenfalls auch noch nach Vorlage des Verwendungsnachweises - wenn</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5.1</w:t>
      </w:r>
      <w:r w:rsidRPr="00C53053">
        <w:rPr>
          <w:rFonts w:ascii="Helvetica" w:hAnsi="Helvetica"/>
          <w:sz w:val="16"/>
          <w:szCs w:val="16"/>
        </w:rPr>
        <w:tab/>
        <w:t>er weitere Zuwendungen für denselben Zweck bei öffentlichen Stellen beantragt oder die Voraussetzungen der Nr. 2 eintreten,</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5.2</w:t>
      </w:r>
      <w:r w:rsidRPr="00C53053">
        <w:rPr>
          <w:rFonts w:ascii="Helvetica" w:hAnsi="Helvetica"/>
          <w:sz w:val="16"/>
          <w:szCs w:val="16"/>
        </w:rPr>
        <w:tab/>
        <w:t>der Verwendungszweck oder sonstige für die Bewilligung der Zuwendung maßgebliche Umstände sich ändern oder wegfallen,</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5.3</w:t>
      </w:r>
      <w:r w:rsidRPr="00C53053">
        <w:rPr>
          <w:rFonts w:ascii="Helvetica" w:hAnsi="Helvetica"/>
          <w:sz w:val="16"/>
          <w:szCs w:val="16"/>
        </w:rPr>
        <w:tab/>
        <w:t>sich herausstellt, dass der Zuwendungszweck nicht oder mit der bewilligten Zuwendung nicht zu erreichen ist,</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5.4</w:t>
      </w:r>
      <w:r w:rsidRPr="00C53053">
        <w:rPr>
          <w:rFonts w:ascii="Helvetica" w:hAnsi="Helvetica"/>
          <w:sz w:val="16"/>
          <w:szCs w:val="16"/>
        </w:rPr>
        <w:tab/>
        <w:t>die ausgezahlten Beträge nicht innerhalb von zwei Monaten nach Auszahlung verbraucht werden können,</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5.5</w:t>
      </w:r>
      <w:r w:rsidRPr="00C53053">
        <w:rPr>
          <w:rFonts w:ascii="Helvetica" w:hAnsi="Helvetica"/>
          <w:sz w:val="16"/>
          <w:szCs w:val="16"/>
        </w:rPr>
        <w:tab/>
        <w:t>zu inventarisierende Gegenstände innerhalb der zeitlichen Bindung nicht mehr entsprechend dem Zuwendungszweck verwendet oder nicht mehr benötigt werden,</w:t>
      </w:r>
    </w:p>
    <w:p w:rsidR="00BA2C65" w:rsidRDefault="00A40501" w:rsidP="00C53053">
      <w:pPr>
        <w:pStyle w:val="GliederungA"/>
        <w:pBdr>
          <w:right w:val="single" w:sz="4" w:space="4" w:color="auto"/>
        </w:pBdr>
        <w:spacing w:after="120" w:line="240" w:lineRule="auto"/>
        <w:ind w:left="426" w:hanging="426"/>
        <w:rPr>
          <w:rFonts w:ascii="Helvetica" w:hAnsi="Helvetica"/>
          <w:sz w:val="16"/>
          <w:szCs w:val="16"/>
        </w:rPr>
      </w:pPr>
      <w:r w:rsidRPr="00C53053">
        <w:rPr>
          <w:rFonts w:ascii="Helvetica" w:hAnsi="Helvetica"/>
          <w:sz w:val="16"/>
          <w:szCs w:val="16"/>
        </w:rPr>
        <w:t>5.6</w:t>
      </w:r>
      <w:r w:rsidRPr="00C53053">
        <w:rPr>
          <w:rFonts w:ascii="Helvetica" w:hAnsi="Helvetica"/>
          <w:sz w:val="16"/>
          <w:szCs w:val="16"/>
        </w:rPr>
        <w:tab/>
        <w:t>ein Konkurs- oder Vergleichsverfahren gegen ihn beantragt oder eröffnet wird</w:t>
      </w:r>
    </w:p>
    <w:p w:rsidR="00BA2C65" w:rsidRDefault="00BA2C65">
      <w:pPr>
        <w:spacing w:after="0" w:line="240" w:lineRule="auto"/>
        <w:rPr>
          <w:rFonts w:ascii="Helvetica" w:eastAsia="Times New Roman" w:hAnsi="Helvetica" w:cs="Times New Roman"/>
          <w:sz w:val="16"/>
          <w:szCs w:val="16"/>
          <w:lang w:eastAsia="de-DE"/>
        </w:rPr>
      </w:pPr>
    </w:p>
    <w:p w:rsidR="00A40501" w:rsidRPr="00C53053" w:rsidRDefault="00A40501" w:rsidP="00C53053">
      <w:pPr>
        <w:pStyle w:val="GliederungA"/>
        <w:pBdr>
          <w:right w:val="single" w:sz="4" w:space="4" w:color="auto"/>
        </w:pBdr>
        <w:spacing w:line="240" w:lineRule="auto"/>
        <w:ind w:left="426" w:hanging="426"/>
        <w:rPr>
          <w:rFonts w:ascii="Helvetica" w:hAnsi="Helvetica"/>
          <w:b/>
          <w:sz w:val="16"/>
          <w:szCs w:val="16"/>
        </w:rPr>
      </w:pPr>
      <w:r w:rsidRPr="00C53053">
        <w:rPr>
          <w:rFonts w:ascii="Helvetica" w:hAnsi="Helvetica"/>
          <w:b/>
          <w:sz w:val="16"/>
          <w:szCs w:val="16"/>
        </w:rPr>
        <w:t>6</w:t>
      </w:r>
      <w:r w:rsidRPr="00C53053">
        <w:rPr>
          <w:rFonts w:ascii="Helvetica" w:hAnsi="Helvetica"/>
          <w:b/>
          <w:sz w:val="16"/>
          <w:szCs w:val="16"/>
        </w:rPr>
        <w:tab/>
        <w:t>Baurechnung</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6.1</w:t>
      </w:r>
      <w:r w:rsidRPr="00C53053">
        <w:rPr>
          <w:rFonts w:ascii="Helvetica" w:hAnsi="Helvetica"/>
          <w:sz w:val="16"/>
          <w:szCs w:val="16"/>
        </w:rPr>
        <w:tab/>
        <w:t>Der Zuwendungsempfänger muss für jede Baumaßnahme eine Baurechnung führen. Besteht eine Baumaßnahme aus mehreren Bauobjekten/Bauabschnitten, sind getrennte Baurechnungen zu führen.</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6.2</w:t>
      </w:r>
      <w:r w:rsidRPr="00C53053">
        <w:rPr>
          <w:rFonts w:ascii="Helvetica" w:hAnsi="Helvetica"/>
          <w:sz w:val="16"/>
          <w:szCs w:val="16"/>
        </w:rPr>
        <w:tab/>
        <w:t>Die Baurechnung besteht aus</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6.2.1</w:t>
      </w:r>
      <w:r w:rsidRPr="00C53053">
        <w:rPr>
          <w:rFonts w:ascii="Helvetica" w:hAnsi="Helvetica"/>
          <w:sz w:val="16"/>
          <w:szCs w:val="16"/>
        </w:rPr>
        <w:tab/>
        <w:t>dem Bauausgabebuch (bei Hochbauten nach DIN 276 Teil 2 gegliedert, bei anderen Bauten nach Maßgabe des Zuwendungsbescheides). Werden die Einnahmen und Ausgaben für das geförderte Bauobjekt von anderen Buchungsvorfällen getrennt nachgewiesen, entsprechen die Nachweise unmittelbar oder durch ergänzende Aufzeichnungen den Inhalts- und Gliederungsansprüchen der DIN 276 und können sie zur Prüfung der Baurechnung beigefügt werden, so kann mit Einwilligung der Bewilligungsbehörde von der Führung eines gesonderten Bauausgabebuches abgesehen werden,</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6.2.2</w:t>
      </w:r>
      <w:r w:rsidRPr="00C53053">
        <w:rPr>
          <w:rFonts w:ascii="Helvetica" w:hAnsi="Helvetica"/>
          <w:sz w:val="16"/>
          <w:szCs w:val="16"/>
        </w:rPr>
        <w:tab/>
        <w:t>den Rechnungsbelegen, bezeichnet und geordnet entsprechend Nummer 6.2.1,</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6.2.3</w:t>
      </w:r>
      <w:r w:rsidRPr="00C53053">
        <w:rPr>
          <w:rFonts w:ascii="Helvetica" w:hAnsi="Helvetica"/>
          <w:sz w:val="16"/>
          <w:szCs w:val="16"/>
        </w:rPr>
        <w:tab/>
        <w:t>den Abrechnungszeichnungen und Bestandplänen,</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6.2.4</w:t>
      </w:r>
      <w:r w:rsidRPr="00C53053">
        <w:rPr>
          <w:rFonts w:ascii="Helvetica" w:hAnsi="Helvetica"/>
          <w:sz w:val="16"/>
          <w:szCs w:val="16"/>
        </w:rPr>
        <w:tab/>
        <w:t>den Verträgen über die Leistungen und Lieferungen mit Schriftverkehr,</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6.2.5</w:t>
      </w:r>
      <w:r w:rsidRPr="00C53053">
        <w:rPr>
          <w:rFonts w:ascii="Helvetica" w:hAnsi="Helvetica"/>
          <w:sz w:val="16"/>
          <w:szCs w:val="16"/>
        </w:rPr>
        <w:tab/>
        <w:t>den bauaufsichtlichen Genehmigungen, den Prüf- und Abnahmebescheinigungen,</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6.2.6</w:t>
      </w:r>
      <w:r w:rsidRPr="00C53053">
        <w:rPr>
          <w:rFonts w:ascii="Helvetica" w:hAnsi="Helvetica"/>
          <w:sz w:val="16"/>
          <w:szCs w:val="16"/>
        </w:rPr>
        <w:tab/>
        <w:t>dem Zuwendungsbescheid und den Schreiben über die Bereitstellung der Mittel,</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6.2.7</w:t>
      </w:r>
      <w:r w:rsidRPr="00C53053">
        <w:rPr>
          <w:rFonts w:ascii="Helvetica" w:hAnsi="Helvetica"/>
          <w:sz w:val="16"/>
          <w:szCs w:val="16"/>
        </w:rPr>
        <w:tab/>
        <w:t>den geprüften, dem Zuwendungsbescheid zugrunde gelegten Bauunterlagen,</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6.2.8</w:t>
      </w:r>
      <w:r w:rsidRPr="00C53053">
        <w:rPr>
          <w:rFonts w:ascii="Helvetica" w:hAnsi="Helvetica"/>
          <w:sz w:val="16"/>
          <w:szCs w:val="16"/>
        </w:rPr>
        <w:tab/>
        <w:t>der Berechnung der ausgeführten Flächen und des Rauminhalts nach DIN 277 (nur bei Hochbauten) und bei Wohnbauten gegebenenfalls die Wohn- und Nutzflächenberechnung nach DIN 283,</w:t>
      </w:r>
    </w:p>
    <w:p w:rsidR="00A40501" w:rsidRPr="00C53053" w:rsidRDefault="00A40501" w:rsidP="00C53053">
      <w:pPr>
        <w:pStyle w:val="GliederungA"/>
        <w:pBdr>
          <w:right w:val="single" w:sz="4" w:space="4" w:color="auto"/>
        </w:pBdr>
        <w:spacing w:after="120" w:line="240" w:lineRule="auto"/>
        <w:ind w:left="426" w:hanging="426"/>
        <w:rPr>
          <w:rFonts w:ascii="Helvetica" w:hAnsi="Helvetica"/>
          <w:sz w:val="16"/>
          <w:szCs w:val="16"/>
        </w:rPr>
      </w:pPr>
      <w:r w:rsidRPr="00C53053">
        <w:rPr>
          <w:rFonts w:ascii="Helvetica" w:hAnsi="Helvetica"/>
          <w:sz w:val="16"/>
          <w:szCs w:val="16"/>
        </w:rPr>
        <w:t>6.2.9</w:t>
      </w:r>
      <w:r w:rsidRPr="00C53053">
        <w:rPr>
          <w:rFonts w:ascii="Helvetica" w:hAnsi="Helvetica"/>
          <w:sz w:val="16"/>
          <w:szCs w:val="16"/>
        </w:rPr>
        <w:tab/>
        <w:t>dem Bautagebuch.</w:t>
      </w:r>
    </w:p>
    <w:p w:rsidR="00A40501" w:rsidRPr="00C53053" w:rsidRDefault="00A40501" w:rsidP="00C53053">
      <w:pPr>
        <w:pStyle w:val="GliederungA"/>
        <w:pBdr>
          <w:right w:val="single" w:sz="4" w:space="4" w:color="auto"/>
        </w:pBdr>
        <w:spacing w:line="240" w:lineRule="auto"/>
        <w:ind w:left="426" w:hanging="426"/>
        <w:rPr>
          <w:rFonts w:ascii="Helvetica" w:hAnsi="Helvetica"/>
          <w:b/>
          <w:sz w:val="16"/>
          <w:szCs w:val="16"/>
        </w:rPr>
      </w:pPr>
      <w:r w:rsidRPr="00C53053">
        <w:rPr>
          <w:rFonts w:ascii="Helvetica" w:hAnsi="Helvetica"/>
          <w:b/>
          <w:sz w:val="16"/>
          <w:szCs w:val="16"/>
        </w:rPr>
        <w:t>7</w:t>
      </w:r>
      <w:r w:rsidRPr="00C53053">
        <w:rPr>
          <w:rFonts w:ascii="Helvetica" w:hAnsi="Helvetica"/>
          <w:b/>
          <w:sz w:val="16"/>
          <w:szCs w:val="16"/>
        </w:rPr>
        <w:tab/>
        <w:t>Nachweis der Verwendung</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7.1</w:t>
      </w:r>
      <w:r w:rsidRPr="00C53053">
        <w:rPr>
          <w:rFonts w:ascii="Helvetica" w:hAnsi="Helvetica"/>
          <w:sz w:val="16"/>
          <w:szCs w:val="16"/>
        </w:rPr>
        <w:tab/>
        <w:t>Die Verwendung der Zuwendung ist innerhalb von sechs Monaten nach Erfüllung des Zuwendungszwecks, spätestens jedoch mit Ablauf des sechsten auf den Bewilligungszeitraum folgenden Monats der Bewilligungsbehörde nachzuweisen (Verwendungsnachweis). Ist der Zuwendungszweck nicht bis zum Ablauf des Haushaltsjahres erfüllt, ist binnen vier Monaten nach Ablauf des Haushaltsjahres über die in diesem Jahr erhaltenen Beträge ein Zwischennachweis zu führen.</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7.2</w:t>
      </w:r>
      <w:r w:rsidRPr="00C53053">
        <w:rPr>
          <w:rFonts w:ascii="Helvetica" w:hAnsi="Helvetica"/>
          <w:sz w:val="16"/>
          <w:szCs w:val="16"/>
        </w:rPr>
        <w:tab/>
        <w:t>Der Verwendungsnachweis besteht aus einem Sachbericht und einem zahlenmäßigen Nachweis.</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7.3</w:t>
      </w:r>
      <w:r w:rsidRPr="00C53053">
        <w:rPr>
          <w:rFonts w:ascii="Helvetica" w:hAnsi="Helvetica"/>
          <w:sz w:val="16"/>
          <w:szCs w:val="16"/>
        </w:rPr>
        <w:tab/>
        <w:t>In dem Sachbericht sind die Verwendung der Zuwendung sowie das erzielte Ergebnis im Einzelnen darzustellen.</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7.4</w:t>
      </w:r>
      <w:r w:rsidRPr="00C53053">
        <w:rPr>
          <w:rFonts w:ascii="Helvetica" w:hAnsi="Helvetica"/>
          <w:sz w:val="16"/>
          <w:szCs w:val="16"/>
        </w:rPr>
        <w:tab/>
        <w:t xml:space="preserve">In dem zahlenmäßigen Nachweis sind die Einnahmen und Ausgaben in zeitlicher Folge und voneinander getrennt entsprechend der Gliederung des Finanzierungsplans auszuweisen. Der Nachweis muss alle mit dem Zuwendungszweck zusammenhängenden Einnahmen (Zuwendungen, Leistungen Dritter, eigene Mittel) und Ausgaben enthalten. Aus dem Nachweis müssen Tag, Empfänger/Einzahler sowie Grund und Einzelbetrag jeder Zahlung ersichtlich sein. Soweit der Zuwendungsempfänger die Möglichkeit zum Vorsteuerabzug nach § 15 des Umsatzsteuergesetzes </w:t>
      </w:r>
      <w:r w:rsidRPr="00C53053">
        <w:rPr>
          <w:rFonts w:ascii="Helvetica" w:hAnsi="Helvetica"/>
          <w:sz w:val="16"/>
          <w:szCs w:val="16"/>
        </w:rPr>
        <w:t>hat, dürfen nur die Entgelte (Preise ohne Umsatzsteuer) berücksichtigt werden.</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7.5</w:t>
      </w:r>
      <w:r w:rsidRPr="00C53053">
        <w:rPr>
          <w:rFonts w:ascii="Helvetica" w:hAnsi="Helvetica"/>
          <w:sz w:val="16"/>
          <w:szCs w:val="16"/>
        </w:rPr>
        <w:tab/>
        <w:t xml:space="preserve">Mit dem Nachweis sind die </w:t>
      </w:r>
      <w:r w:rsidR="008973BA">
        <w:rPr>
          <w:rFonts w:ascii="Helvetica" w:hAnsi="Helvetica"/>
          <w:sz w:val="16"/>
          <w:szCs w:val="16"/>
        </w:rPr>
        <w:t>Belege</w:t>
      </w:r>
      <w:r w:rsidRPr="00C53053">
        <w:rPr>
          <w:rFonts w:ascii="Helvetica" w:hAnsi="Helvetica"/>
          <w:sz w:val="16"/>
          <w:szCs w:val="16"/>
        </w:rPr>
        <w:t xml:space="preserve"> (Einnahme- und Ausgabebelege) über die Einzelzahlungen und die Verträge über die Vergabe von Aufträgen vorzulegen.</w:t>
      </w:r>
      <w:r w:rsidR="008973BA" w:rsidRPr="008973BA">
        <w:t xml:space="preserve"> </w:t>
      </w:r>
      <w:r w:rsidR="008973BA" w:rsidRPr="008973BA">
        <w:rPr>
          <w:rFonts w:ascii="Helvetica" w:hAnsi="Helvetica"/>
          <w:sz w:val="16"/>
          <w:szCs w:val="16"/>
        </w:rPr>
        <w:t>Die Bewilligungsbehörde kann die Vorlage von Originalbelegen verlangen</w:t>
      </w:r>
      <w:r w:rsidR="008973BA">
        <w:rPr>
          <w:rFonts w:ascii="Helvetica" w:hAnsi="Helvetica"/>
          <w:sz w:val="16"/>
          <w:szCs w:val="16"/>
        </w:rPr>
        <w:t>.</w:t>
      </w:r>
      <w:bookmarkStart w:id="0" w:name="_GoBack"/>
      <w:bookmarkEnd w:id="0"/>
    </w:p>
    <w:p w:rsidR="005D781A"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7.6</w:t>
      </w:r>
      <w:r w:rsidRPr="00C53053">
        <w:rPr>
          <w:rFonts w:ascii="Helvetica" w:hAnsi="Helvetica"/>
          <w:sz w:val="16"/>
          <w:szCs w:val="16"/>
        </w:rPr>
        <w:tab/>
        <w:t>Sofern ein einfacher Verwendungsnachweis zugelassen ist, besteht dieser aus dem Sachbericht und einem zahlenmäßigen Nachweis ohne Vorlage von Belegen, in dem Einnahmen und Ausgaben entsprechend der Gliederung des Finanzierungsplans summarisch zusammenzustellen sind und der Zahlungszeitraum anzugeben ist.</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7.7</w:t>
      </w:r>
      <w:r w:rsidRPr="00C53053">
        <w:rPr>
          <w:rFonts w:ascii="Helvetica" w:hAnsi="Helvetica"/>
          <w:sz w:val="16"/>
          <w:szCs w:val="16"/>
        </w:rPr>
        <w:tab/>
        <w:t>Der Zwischennachweis (Nr. 7.1 Satz 2) ist wie der einfache Verwendungsnachweis zu führen.</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7.8</w:t>
      </w:r>
      <w:r w:rsidRPr="00C53053">
        <w:rPr>
          <w:rFonts w:ascii="Helvetica" w:hAnsi="Helvetica"/>
          <w:sz w:val="16"/>
          <w:szCs w:val="16"/>
        </w:rPr>
        <w:tab/>
        <w:t>Die Belege müssen die im Geschäftsverkehr üblichen Angaben und Anlagen enthalten, die Ausgabebelege insbesondere den Zahlungsempfänger, Grund und Tag der Zahlung, den Zahlungsbeweis und bei Gegenständen den Verwendungszweck. Im Verwendungsnachweis ist zu bestätigen, dass die Ausgaben notwendig waren, dass wirtschaftlich und sparsam verfahren worden ist und die Angaben mit den Büchern und Belegen übereinstimmen.</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7.9.</w:t>
      </w:r>
      <w:r w:rsidRPr="00C53053">
        <w:rPr>
          <w:rFonts w:ascii="Helvetica" w:hAnsi="Helvetica"/>
          <w:sz w:val="16"/>
          <w:szCs w:val="16"/>
        </w:rPr>
        <w:tab/>
        <w:t>Bei Baumaßnahmen hat der Zuwendungsempfänger den Verwendungsnachweis der ihm benannten Bauverwaltung zuzuleiten. Der Nachweis, wann und in welchen Einzelbeträgen die Bauausgaben geleistet wurden, wird durch die Baurechnung geführt (vgl. Nr. 6). Die Baurechnung ist zur Prüfung bereitzuhalten; nur die Berechnungen nach Nummer 6.2.8 sind dem Verwendungsnachweis beizufügen. Werden über Teile einer Baumaßnahme (z.B. mehrere Bauobjekte/Bauabschnitte) einzelne Verwendungsnachweise geführt, so ist nach Abschluss der Baumaßnahme ein zusammengefasster Verwendungsnachweis aufzustellen.</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7.10</w:t>
      </w:r>
      <w:r w:rsidRPr="00C53053">
        <w:rPr>
          <w:rFonts w:ascii="Helvetica" w:hAnsi="Helvetica"/>
          <w:sz w:val="16"/>
          <w:szCs w:val="16"/>
        </w:rPr>
        <w:tab/>
        <w:t>Der Zuwendungsempfänger hat die Belege und sonstigen Unterlagen (vgl. Nr. 8.1 Satz 1) 5 Jahre nach Vorlage des Verwendungsnachweises aufzubewahren, sofern nicht nach steuerrechtlichen oder anderen Vorschriften eine längere Aufbewahrungsfrist bestimmt ist. Zur Aufbewahrung können auch Bild- oder Datenträger verwendet werden.</w:t>
      </w:r>
    </w:p>
    <w:p w:rsidR="00A40501" w:rsidRPr="00C53053" w:rsidRDefault="00A40501" w:rsidP="00C53053">
      <w:pPr>
        <w:pStyle w:val="GliederungA"/>
        <w:pBdr>
          <w:right w:val="single" w:sz="4" w:space="4" w:color="auto"/>
        </w:pBdr>
        <w:spacing w:after="120" w:line="240" w:lineRule="auto"/>
        <w:ind w:left="426" w:hanging="426"/>
        <w:rPr>
          <w:rFonts w:ascii="Helvetica" w:hAnsi="Helvetica"/>
          <w:sz w:val="16"/>
          <w:szCs w:val="16"/>
        </w:rPr>
      </w:pPr>
      <w:r w:rsidRPr="00C53053">
        <w:rPr>
          <w:rFonts w:ascii="Helvetica" w:hAnsi="Helvetica"/>
          <w:sz w:val="16"/>
          <w:szCs w:val="16"/>
        </w:rPr>
        <w:t>7.11</w:t>
      </w:r>
      <w:r w:rsidRPr="00C53053">
        <w:rPr>
          <w:rFonts w:ascii="Helvetica" w:hAnsi="Helvetica"/>
          <w:sz w:val="16"/>
          <w:szCs w:val="16"/>
        </w:rPr>
        <w:tab/>
        <w:t>Darf der Zuwendungsempfänger zur Erfüllung des Zuwendungszwecks Mittel an Dritte weiterleiten, sind die von den empfangenden Stellen ihm gegenüber zu erbringenden Zwischen- und Verwendungsnachweise dem Nachweis nach Nummer 7.1 beizufügen.</w:t>
      </w:r>
    </w:p>
    <w:p w:rsidR="00A40501" w:rsidRPr="00C53053" w:rsidRDefault="00A40501" w:rsidP="00C53053">
      <w:pPr>
        <w:pStyle w:val="GliederungA"/>
        <w:pBdr>
          <w:right w:val="single" w:sz="4" w:space="4" w:color="auto"/>
        </w:pBdr>
        <w:spacing w:line="240" w:lineRule="auto"/>
        <w:ind w:left="426" w:hanging="426"/>
        <w:rPr>
          <w:rFonts w:ascii="Helvetica" w:hAnsi="Helvetica"/>
          <w:b/>
          <w:sz w:val="16"/>
          <w:szCs w:val="16"/>
        </w:rPr>
      </w:pPr>
      <w:r w:rsidRPr="00C53053">
        <w:rPr>
          <w:rFonts w:ascii="Helvetica" w:hAnsi="Helvetica"/>
          <w:b/>
          <w:sz w:val="16"/>
          <w:szCs w:val="16"/>
        </w:rPr>
        <w:t>8</w:t>
      </w:r>
      <w:r w:rsidRPr="00C53053">
        <w:rPr>
          <w:rFonts w:ascii="Helvetica" w:hAnsi="Helvetica"/>
          <w:b/>
          <w:sz w:val="16"/>
          <w:szCs w:val="16"/>
        </w:rPr>
        <w:tab/>
        <w:t>Prüfung und Verwendung</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8.1</w:t>
      </w:r>
      <w:r w:rsidRPr="00C53053">
        <w:rPr>
          <w:rFonts w:ascii="Helvetica" w:hAnsi="Helvetica"/>
          <w:sz w:val="16"/>
          <w:szCs w:val="16"/>
        </w:rPr>
        <w:tab/>
        <w:t>Die Bewilligungsbehörde ist berechtigt, Bücher, Belege und sonstige mit der Förderung zusammenhängende Geschäftsunterlagen anzufordern sowie die Verwendung der Zuwendung durch örtliche Erhebungen zu prüfen oder durch Beauftragte prüfen zu lassen. Der Zuwendungsempfänger hat die erforderlichen Unterlagen bereitzuhalten und die notwendigen Auskünfte zu erteilen. In den Fällen der Nummer 7.11 sind diese Rechte der Bewilligungsbehörde auch dem Dritten gegenüber auszubedingen.</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8.2</w:t>
      </w:r>
      <w:r w:rsidRPr="00C53053">
        <w:rPr>
          <w:rFonts w:ascii="Helvetica" w:hAnsi="Helvetica"/>
          <w:sz w:val="16"/>
          <w:szCs w:val="16"/>
        </w:rPr>
        <w:tab/>
        <w:t>Unterhält der Zuwendungsempfänger eine eigene Prüfungseinrichtung, ist von dieser der Verwendungsnachweis vorher zu prüfen und die Prüfung unter Angabe ihres Ergebnisses zu bescheinigen.</w:t>
      </w:r>
    </w:p>
    <w:p w:rsidR="00A40501" w:rsidRPr="00C53053" w:rsidRDefault="00A40501" w:rsidP="00C53053">
      <w:pPr>
        <w:pStyle w:val="GliederungA"/>
        <w:pBdr>
          <w:right w:val="single" w:sz="4" w:space="4" w:color="auto"/>
        </w:pBdr>
        <w:spacing w:after="120" w:line="240" w:lineRule="auto"/>
        <w:ind w:left="426" w:hanging="426"/>
        <w:rPr>
          <w:rFonts w:ascii="Helvetica" w:hAnsi="Helvetica"/>
          <w:sz w:val="16"/>
          <w:szCs w:val="16"/>
        </w:rPr>
      </w:pPr>
      <w:r w:rsidRPr="00C53053">
        <w:rPr>
          <w:rFonts w:ascii="Helvetica" w:hAnsi="Helvetica"/>
          <w:sz w:val="16"/>
          <w:szCs w:val="16"/>
        </w:rPr>
        <w:t>8.3</w:t>
      </w:r>
      <w:r w:rsidRPr="00C53053">
        <w:rPr>
          <w:rFonts w:ascii="Helvetica" w:hAnsi="Helvetica"/>
          <w:sz w:val="16"/>
          <w:szCs w:val="16"/>
        </w:rPr>
        <w:tab/>
        <w:t>Der Rechnungshof ist berechtigt, bei allen Zuwendungsempfängern zu prüfen (§ 91 LHO).</w:t>
      </w:r>
    </w:p>
    <w:p w:rsidR="00A40501" w:rsidRPr="00C53053" w:rsidRDefault="00A40501" w:rsidP="00C53053">
      <w:pPr>
        <w:pStyle w:val="GliederungA"/>
        <w:pBdr>
          <w:right w:val="single" w:sz="4" w:space="4" w:color="auto"/>
        </w:pBdr>
        <w:spacing w:line="240" w:lineRule="auto"/>
        <w:ind w:left="426" w:hanging="426"/>
        <w:rPr>
          <w:rFonts w:ascii="Helvetica" w:hAnsi="Helvetica"/>
          <w:b/>
          <w:sz w:val="16"/>
          <w:szCs w:val="16"/>
        </w:rPr>
      </w:pPr>
      <w:r w:rsidRPr="00C53053">
        <w:rPr>
          <w:rFonts w:ascii="Helvetica" w:hAnsi="Helvetica"/>
          <w:b/>
          <w:sz w:val="16"/>
          <w:szCs w:val="16"/>
        </w:rPr>
        <w:t>9</w:t>
      </w:r>
      <w:r w:rsidRPr="00C53053">
        <w:rPr>
          <w:rFonts w:ascii="Helvetica" w:hAnsi="Helvetica"/>
          <w:b/>
          <w:sz w:val="16"/>
          <w:szCs w:val="16"/>
        </w:rPr>
        <w:tab/>
        <w:t>Erstattung der Zuwendung, Verzinsung</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9.1</w:t>
      </w:r>
      <w:r w:rsidRPr="00C53053">
        <w:rPr>
          <w:rFonts w:ascii="Helvetica" w:hAnsi="Helvetica"/>
          <w:sz w:val="16"/>
          <w:szCs w:val="16"/>
        </w:rPr>
        <w:tab/>
        <w:t>Die Zuwendung ist zu erstatten, soweit ein Zuwendungsbescheid nach Verwaltungsverfahrensrecht (§ 1 Abs. 1 LVwVfG i.V.m. §§ 48, 49 VwVfG) oder anderen Rechtsvorschriften mit Wirkung für die Vergangenheit zurückgenommen, widerrufen oder sonst unwirksam wird.</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9.2</w:t>
      </w:r>
      <w:r w:rsidRPr="00C53053">
        <w:rPr>
          <w:rFonts w:ascii="Helvetica" w:hAnsi="Helvetica"/>
          <w:sz w:val="16"/>
          <w:szCs w:val="16"/>
        </w:rPr>
        <w:tab/>
        <w:t>Nummer 9.1 gilt insbesondere, wenn</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9.2.1</w:t>
      </w:r>
      <w:r w:rsidRPr="00C53053">
        <w:rPr>
          <w:rFonts w:ascii="Helvetica" w:hAnsi="Helvetica"/>
          <w:sz w:val="16"/>
          <w:szCs w:val="16"/>
        </w:rPr>
        <w:tab/>
        <w:t>die Zuwendung durch unrichtige oder unvollständige Angaben erwirkt worden ist,</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9.2.2</w:t>
      </w:r>
      <w:r w:rsidRPr="00C53053">
        <w:rPr>
          <w:rFonts w:ascii="Helvetica" w:hAnsi="Helvetica"/>
          <w:sz w:val="16"/>
          <w:szCs w:val="16"/>
        </w:rPr>
        <w:tab/>
        <w:t>die Zuwendung nicht oder nicht mehr für den vorgesehenen Zweck verwendet wird,</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9.2.3</w:t>
      </w:r>
      <w:r w:rsidRPr="00C53053">
        <w:rPr>
          <w:rFonts w:ascii="Helvetica" w:hAnsi="Helvetica"/>
          <w:sz w:val="16"/>
          <w:szCs w:val="16"/>
        </w:rPr>
        <w:tab/>
        <w:t>eine auflösende Bedingung eingetreten ist (z.B. nachträgliche Ermäßigung der Ausgaben oder Änderung der Finanzierung nach Nr. 2).</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lastRenderedPageBreak/>
        <w:t>9.3</w:t>
      </w:r>
      <w:r w:rsidRPr="00C53053">
        <w:rPr>
          <w:rFonts w:ascii="Helvetica" w:hAnsi="Helvetica"/>
          <w:sz w:val="16"/>
          <w:szCs w:val="16"/>
        </w:rPr>
        <w:tab/>
        <w:t>Ein Widerruf mit Wirkung für die Vergangenheit kann auch in Betracht kommen, soweit der Zuwendungsempfänger</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9.3.1</w:t>
      </w:r>
      <w:r w:rsidRPr="00C53053">
        <w:rPr>
          <w:rFonts w:ascii="Helvetica" w:hAnsi="Helvetica"/>
          <w:sz w:val="16"/>
          <w:szCs w:val="16"/>
        </w:rPr>
        <w:tab/>
        <w:t>die Zuwendung nicht alsbald (innerhalb von zwei Monaten) nach Auszahlung zur Erfüllung des Zuwendungszwecks verwendet oder</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9.3.2</w:t>
      </w:r>
      <w:r w:rsidRPr="00C53053">
        <w:rPr>
          <w:rFonts w:ascii="Helvetica" w:hAnsi="Helvetica"/>
          <w:sz w:val="16"/>
          <w:szCs w:val="16"/>
        </w:rPr>
        <w:tab/>
        <w:t>Auflagen nicht oder nicht innerhalb einer gesetzten Frist erfüllt, insbesondere das Vergaberecht (Nr. 3) nicht beachtet, Mitteilungspflichten (Nr. 5) nicht rechtzeitig nachkommt sowie den vorgeschriebenen Verwendungsnachweis (Nr. 7) nicht rechtzeitig vorlegt.</w:t>
      </w:r>
    </w:p>
    <w:p w:rsidR="00A40501" w:rsidRPr="00C53053" w:rsidRDefault="00A40501" w:rsidP="00C53053">
      <w:pPr>
        <w:pStyle w:val="GliederungA"/>
        <w:pBdr>
          <w:right w:val="single" w:sz="4" w:space="4" w:color="auto"/>
        </w:pBdr>
        <w:spacing w:line="240" w:lineRule="auto"/>
        <w:ind w:left="426" w:hanging="426"/>
        <w:rPr>
          <w:rFonts w:ascii="Helvetica" w:hAnsi="Helvetica"/>
          <w:sz w:val="16"/>
          <w:szCs w:val="16"/>
        </w:rPr>
      </w:pPr>
      <w:r w:rsidRPr="00C53053">
        <w:rPr>
          <w:rFonts w:ascii="Helvetica" w:hAnsi="Helvetica"/>
          <w:sz w:val="16"/>
          <w:szCs w:val="16"/>
        </w:rPr>
        <w:t>9.4</w:t>
      </w:r>
      <w:r w:rsidRPr="00C53053">
        <w:rPr>
          <w:rFonts w:ascii="Helvetica" w:hAnsi="Helvetica"/>
          <w:sz w:val="16"/>
          <w:szCs w:val="16"/>
        </w:rPr>
        <w:tab/>
        <w:t>Der Erstattungsbetrag ist nach § 1 Abs. 1 LVwVfG i.V.m. § 49a Abs. 3 VwVfG mit jährlich 5 Prozentpunkten über dem jeweiligen Basiszinssatz zu verzinsen.</w:t>
      </w:r>
    </w:p>
    <w:p w:rsidR="00A05565" w:rsidRPr="00C53053" w:rsidRDefault="00A40501" w:rsidP="00C53053">
      <w:pPr>
        <w:pStyle w:val="GliederungA"/>
        <w:pBdr>
          <w:right w:val="single" w:sz="4" w:space="4" w:color="auto"/>
        </w:pBdr>
        <w:spacing w:after="120" w:line="240" w:lineRule="auto"/>
        <w:ind w:left="426" w:hanging="426"/>
        <w:rPr>
          <w:rFonts w:ascii="Helvetica" w:hAnsi="Helvetica"/>
          <w:sz w:val="16"/>
          <w:szCs w:val="16"/>
        </w:rPr>
      </w:pPr>
      <w:r w:rsidRPr="00C53053">
        <w:rPr>
          <w:rFonts w:ascii="Helvetica" w:hAnsi="Helvetica"/>
          <w:sz w:val="16"/>
          <w:szCs w:val="16"/>
        </w:rPr>
        <w:t>9.5</w:t>
      </w:r>
      <w:r w:rsidRPr="00C53053">
        <w:rPr>
          <w:rFonts w:ascii="Helvetica" w:hAnsi="Helvetica"/>
          <w:sz w:val="16"/>
          <w:szCs w:val="16"/>
        </w:rPr>
        <w:tab/>
        <w:t>Wird die Zuwendung nicht alsbald nach der Auszahlung zur Erfüllung des Zuwendungszwecks verwendet und wird der Zuwendungsbescheid nicht zurückgenommen oder widerrufen, werden regelmäßig für die Zeit von der Auszahlung bis zur zweckentsprechenden Verwendung ebenfalls Zinsen in Höhe des Zinssatzes nach Nummer 9.4 verlangt. Zinsen in vorgenannter Höhe werden regelmäßig auch erhoben, soweit die Zuwendung in Anspruch genommen wird, obwohl andere Mittel anteilig oder vorrangig einzusetzen sind (vgl. § 49a Abs. 4 VwVfG).</w:t>
      </w:r>
    </w:p>
    <w:sectPr w:rsidR="00A05565" w:rsidRPr="00C53053" w:rsidSect="00BA2C65">
      <w:headerReference w:type="default" r:id="rId7"/>
      <w:pgSz w:w="11906" w:h="16838" w:code="9"/>
      <w:pgMar w:top="567" w:right="1418" w:bottom="567" w:left="1418" w:header="284" w:footer="709" w:gutter="0"/>
      <w:cols w:num="2" w:space="28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7BD5" w:rsidRDefault="009D7BD5" w:rsidP="00C61DC0">
      <w:pPr>
        <w:spacing w:after="0" w:line="240" w:lineRule="auto"/>
      </w:pPr>
      <w:r>
        <w:separator/>
      </w:r>
    </w:p>
  </w:endnote>
  <w:endnote w:type="continuationSeparator" w:id="0">
    <w:p w:rsidR="009D7BD5" w:rsidRDefault="009D7BD5" w:rsidP="00C61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7BD5" w:rsidRDefault="009D7BD5" w:rsidP="00C61DC0">
      <w:pPr>
        <w:spacing w:after="0" w:line="240" w:lineRule="auto"/>
      </w:pPr>
      <w:r>
        <w:separator/>
      </w:r>
    </w:p>
  </w:footnote>
  <w:footnote w:type="continuationSeparator" w:id="0">
    <w:p w:rsidR="009D7BD5" w:rsidRDefault="009D7BD5" w:rsidP="00C61D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DC0" w:rsidRPr="00C61DC0" w:rsidRDefault="00C61DC0" w:rsidP="00207992">
    <w:pPr>
      <w:pStyle w:val="Kopfzeile"/>
      <w:jc w:val="center"/>
      <w:rPr>
        <w:rFonts w:ascii="Helvetica" w:hAnsi="Helvetica" w:cs="Helvetica"/>
        <w:sz w:val="16"/>
        <w:szCs w:val="16"/>
      </w:rPr>
    </w:pPr>
    <w:r>
      <w:rPr>
        <w:rFonts w:ascii="Helvetica" w:hAnsi="Helvetica" w:cs="Helvetica"/>
        <w:sz w:val="16"/>
        <w:szCs w:val="16"/>
      </w:rPr>
      <w:t>ANBest-P</w:t>
    </w:r>
    <w:r w:rsidRPr="00C61DC0">
      <w:rPr>
        <w:rFonts w:ascii="Helvetica" w:hAnsi="Helvetica" w:cs="Helvetica"/>
        <w:sz w:val="16"/>
        <w:szCs w:val="16"/>
      </w:rPr>
      <w:t xml:space="preserve"> vom 20. De</w:t>
    </w:r>
    <w:r w:rsidR="008973BA">
      <w:rPr>
        <w:rFonts w:ascii="Helvetica" w:hAnsi="Helvetica" w:cs="Helvetica"/>
        <w:sz w:val="16"/>
        <w:szCs w:val="16"/>
      </w:rPr>
      <w:t>zember 2002 in der Fassung vom 2</w:t>
    </w:r>
    <w:r w:rsidRPr="00C61DC0">
      <w:rPr>
        <w:rFonts w:ascii="Helvetica" w:hAnsi="Helvetica" w:cs="Helvetica"/>
        <w:sz w:val="16"/>
        <w:szCs w:val="16"/>
      </w:rPr>
      <w:t>0. Dezember 202</w:t>
    </w:r>
    <w:r w:rsidR="008973BA">
      <w:rPr>
        <w:rFonts w:ascii="Helvetica" w:hAnsi="Helvetica" w:cs="Helvetica"/>
        <w:sz w:val="16"/>
        <w:szCs w:val="16"/>
      </w:rPr>
      <w:t>2</w:t>
    </w:r>
    <w:r w:rsidRPr="00C61DC0">
      <w:rPr>
        <w:rFonts w:ascii="Helvetica" w:hAnsi="Helvetica" w:cs="Helvetica"/>
        <w:sz w:val="16"/>
        <w:szCs w:val="16"/>
      </w:rPr>
      <w:t xml:space="preserve"> (M</w:t>
    </w:r>
    <w:r w:rsidR="008973BA">
      <w:rPr>
        <w:rFonts w:ascii="Helvetica" w:hAnsi="Helvetica" w:cs="Helvetica"/>
        <w:sz w:val="16"/>
        <w:szCs w:val="16"/>
      </w:rPr>
      <w:t>inBl. 2003 S. 60 ff.; 2023 S. 2 f.</w:t>
    </w:r>
    <w:r w:rsidRPr="00C61DC0">
      <w:rPr>
        <w:rFonts w:ascii="Helvetica" w:hAnsi="Helvetica" w:cs="Helvetica"/>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322D4E"/>
    <w:multiLevelType w:val="multilevel"/>
    <w:tmpl w:val="A5DECF3A"/>
    <w:lvl w:ilvl="0">
      <w:start w:val="1"/>
      <w:numFmt w:val="decimal"/>
      <w:lvlText w:val="%1"/>
      <w:lvlJc w:val="left"/>
      <w:pPr>
        <w:ind w:left="1532" w:hanging="1416"/>
        <w:jc w:val="left"/>
      </w:pPr>
      <w:rPr>
        <w:rFonts w:ascii="Arial" w:eastAsia="Arial" w:hAnsi="Arial" w:cs="Arial" w:hint="default"/>
        <w:b w:val="0"/>
        <w:bCs w:val="0"/>
        <w:i w:val="0"/>
        <w:iCs w:val="0"/>
        <w:w w:val="100"/>
        <w:sz w:val="22"/>
        <w:szCs w:val="22"/>
        <w:lang w:val="de-DE" w:eastAsia="en-US" w:bidi="ar-SA"/>
      </w:rPr>
    </w:lvl>
    <w:lvl w:ilvl="1">
      <w:start w:val="1"/>
      <w:numFmt w:val="decimal"/>
      <w:lvlText w:val="%1.%2"/>
      <w:lvlJc w:val="left"/>
      <w:pPr>
        <w:ind w:left="1532" w:hanging="1416"/>
        <w:jc w:val="left"/>
      </w:pPr>
      <w:rPr>
        <w:rFonts w:ascii="Arial" w:eastAsia="Arial" w:hAnsi="Arial" w:cs="Arial" w:hint="default"/>
        <w:b w:val="0"/>
        <w:bCs w:val="0"/>
        <w:i w:val="0"/>
        <w:iCs w:val="0"/>
        <w:spacing w:val="-1"/>
        <w:w w:val="100"/>
        <w:sz w:val="22"/>
        <w:szCs w:val="22"/>
        <w:lang w:val="de-DE" w:eastAsia="en-US" w:bidi="ar-SA"/>
      </w:rPr>
    </w:lvl>
    <w:lvl w:ilvl="2">
      <w:start w:val="1"/>
      <w:numFmt w:val="decimal"/>
      <w:lvlText w:val="%1.%2.%3"/>
      <w:lvlJc w:val="left"/>
      <w:pPr>
        <w:ind w:left="1531" w:hanging="1416"/>
        <w:jc w:val="left"/>
      </w:pPr>
      <w:rPr>
        <w:rFonts w:ascii="Arial" w:eastAsia="Arial" w:hAnsi="Arial" w:cs="Arial" w:hint="default"/>
        <w:b w:val="0"/>
        <w:bCs w:val="0"/>
        <w:i w:val="0"/>
        <w:iCs w:val="0"/>
        <w:spacing w:val="-1"/>
        <w:w w:val="100"/>
        <w:sz w:val="22"/>
        <w:szCs w:val="22"/>
        <w:lang w:val="de-DE" w:eastAsia="en-US" w:bidi="ar-SA"/>
      </w:rPr>
    </w:lvl>
    <w:lvl w:ilvl="3">
      <w:numFmt w:val="bullet"/>
      <w:lvlText w:val="-"/>
      <w:lvlJc w:val="left"/>
      <w:pPr>
        <w:ind w:left="1890" w:hanging="360"/>
      </w:pPr>
      <w:rPr>
        <w:rFonts w:ascii="Arial" w:eastAsia="Arial" w:hAnsi="Arial" w:cs="Arial" w:hint="default"/>
        <w:b w:val="0"/>
        <w:bCs w:val="0"/>
        <w:i w:val="0"/>
        <w:iCs w:val="0"/>
        <w:w w:val="100"/>
        <w:sz w:val="22"/>
        <w:szCs w:val="22"/>
        <w:lang w:val="de-DE" w:eastAsia="en-US" w:bidi="ar-SA"/>
      </w:rPr>
    </w:lvl>
    <w:lvl w:ilvl="4">
      <w:numFmt w:val="bullet"/>
      <w:lvlText w:val="•"/>
      <w:lvlJc w:val="left"/>
      <w:pPr>
        <w:ind w:left="4368" w:hanging="360"/>
      </w:pPr>
      <w:rPr>
        <w:rFonts w:hint="default"/>
        <w:lang w:val="de-DE" w:eastAsia="en-US" w:bidi="ar-SA"/>
      </w:rPr>
    </w:lvl>
    <w:lvl w:ilvl="5">
      <w:numFmt w:val="bullet"/>
      <w:lvlText w:val="•"/>
      <w:lvlJc w:val="left"/>
      <w:pPr>
        <w:ind w:left="5191" w:hanging="360"/>
      </w:pPr>
      <w:rPr>
        <w:rFonts w:hint="default"/>
        <w:lang w:val="de-DE" w:eastAsia="en-US" w:bidi="ar-SA"/>
      </w:rPr>
    </w:lvl>
    <w:lvl w:ilvl="6">
      <w:numFmt w:val="bullet"/>
      <w:lvlText w:val="•"/>
      <w:lvlJc w:val="left"/>
      <w:pPr>
        <w:ind w:left="6014" w:hanging="360"/>
      </w:pPr>
      <w:rPr>
        <w:rFonts w:hint="default"/>
        <w:lang w:val="de-DE" w:eastAsia="en-US" w:bidi="ar-SA"/>
      </w:rPr>
    </w:lvl>
    <w:lvl w:ilvl="7">
      <w:numFmt w:val="bullet"/>
      <w:lvlText w:val="•"/>
      <w:lvlJc w:val="left"/>
      <w:pPr>
        <w:ind w:left="6837" w:hanging="360"/>
      </w:pPr>
      <w:rPr>
        <w:rFonts w:hint="default"/>
        <w:lang w:val="de-DE" w:eastAsia="en-US" w:bidi="ar-SA"/>
      </w:rPr>
    </w:lvl>
    <w:lvl w:ilvl="8">
      <w:numFmt w:val="bullet"/>
      <w:lvlText w:val="•"/>
      <w:lvlJc w:val="left"/>
      <w:pPr>
        <w:ind w:left="7660" w:hanging="360"/>
      </w:pPr>
      <w:rPr>
        <w:rFonts w:hint="default"/>
        <w:lang w:val="de-DE" w:eastAsia="en-US" w:bidi="ar-SA"/>
      </w:rPr>
    </w:lvl>
  </w:abstractNum>
  <w:abstractNum w:abstractNumId="1" w15:restartNumberingAfterBreak="0">
    <w:nsid w:val="403F64E6"/>
    <w:multiLevelType w:val="multilevel"/>
    <w:tmpl w:val="29BEA14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501"/>
    <w:rsid w:val="00207992"/>
    <w:rsid w:val="00524D37"/>
    <w:rsid w:val="005D781A"/>
    <w:rsid w:val="00760733"/>
    <w:rsid w:val="00822AC4"/>
    <w:rsid w:val="00825D87"/>
    <w:rsid w:val="008973BA"/>
    <w:rsid w:val="008D60AC"/>
    <w:rsid w:val="009D7BD5"/>
    <w:rsid w:val="00A05565"/>
    <w:rsid w:val="00A06D52"/>
    <w:rsid w:val="00A40501"/>
    <w:rsid w:val="00BA2C65"/>
    <w:rsid w:val="00C53053"/>
    <w:rsid w:val="00C61DC0"/>
    <w:rsid w:val="00F36625"/>
    <w:rsid w:val="00FB5B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A9E8FDD"/>
  <w15:chartTrackingRefBased/>
  <w15:docId w15:val="{52AE6845-B537-45F8-90C3-BEAF8678E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40501"/>
    <w:pPr>
      <w:spacing w:after="160" w:line="259" w:lineRule="auto"/>
    </w:pPr>
    <w:rPr>
      <w:rFonts w:asciiTheme="minorHAnsi" w:eastAsiaTheme="minorHAnsi" w:hAnsiTheme="minorHAnsi" w:cstheme="minorBid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liederungA">
    <w:name w:val="Gliederung_A"/>
    <w:basedOn w:val="Standard"/>
    <w:rsid w:val="00A40501"/>
    <w:pPr>
      <w:spacing w:after="0" w:line="360" w:lineRule="auto"/>
      <w:ind w:left="993" w:hanging="993"/>
      <w:jc w:val="both"/>
    </w:pPr>
    <w:rPr>
      <w:rFonts w:ascii="Times New Roman" w:eastAsia="Times New Roman" w:hAnsi="Times New Roman" w:cs="Times New Roman"/>
      <w:sz w:val="24"/>
      <w:szCs w:val="20"/>
      <w:lang w:eastAsia="de-DE"/>
    </w:rPr>
  </w:style>
  <w:style w:type="paragraph" w:customStyle="1" w:styleId="StandardEinzeilig">
    <w:name w:val="Standard_Einzeilig"/>
    <w:basedOn w:val="Standard"/>
    <w:rsid w:val="00A40501"/>
    <w:pPr>
      <w:spacing w:after="0" w:line="240" w:lineRule="auto"/>
    </w:pPr>
    <w:rPr>
      <w:rFonts w:ascii="Times New Roman" w:eastAsia="Times New Roman" w:hAnsi="Times New Roman" w:cs="Times New Roman"/>
      <w:sz w:val="24"/>
      <w:szCs w:val="20"/>
      <w:lang w:eastAsia="de-DE"/>
    </w:rPr>
  </w:style>
  <w:style w:type="paragraph" w:styleId="Kopfzeile">
    <w:name w:val="header"/>
    <w:basedOn w:val="Standard"/>
    <w:link w:val="KopfzeileZchn"/>
    <w:uiPriority w:val="99"/>
    <w:unhideWhenUsed/>
    <w:rsid w:val="00C61DC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61DC0"/>
    <w:rPr>
      <w:rFonts w:asciiTheme="minorHAnsi" w:eastAsiaTheme="minorHAnsi" w:hAnsiTheme="minorHAnsi" w:cstheme="minorBidi"/>
      <w:sz w:val="22"/>
      <w:szCs w:val="22"/>
      <w:lang w:eastAsia="en-US"/>
    </w:rPr>
  </w:style>
  <w:style w:type="paragraph" w:styleId="Fuzeile">
    <w:name w:val="footer"/>
    <w:basedOn w:val="Standard"/>
    <w:link w:val="FuzeileZchn"/>
    <w:uiPriority w:val="99"/>
    <w:unhideWhenUsed/>
    <w:rsid w:val="00C61DC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61DC0"/>
    <w:rPr>
      <w:rFonts w:asciiTheme="minorHAnsi" w:eastAsiaTheme="minorHAnsi" w:hAnsiTheme="minorHAnsi" w:cstheme="minorBidi"/>
      <w:sz w:val="22"/>
      <w:szCs w:val="22"/>
      <w:lang w:eastAsia="en-US"/>
    </w:rPr>
  </w:style>
  <w:style w:type="paragraph" w:styleId="Listenabsatz">
    <w:name w:val="List Paragraph"/>
    <w:basedOn w:val="Standard"/>
    <w:uiPriority w:val="1"/>
    <w:qFormat/>
    <w:rsid w:val="008973BA"/>
    <w:pPr>
      <w:widowControl w:val="0"/>
      <w:autoSpaceDE w:val="0"/>
      <w:autoSpaceDN w:val="0"/>
      <w:spacing w:after="0" w:line="240" w:lineRule="auto"/>
      <w:ind w:left="1531" w:hanging="1416"/>
      <w:jc w:val="both"/>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no' ?><Relationships xmlns="http://schemas.openxmlformats.org/package/2006/relationships"><Relationship Id="rId8" Type="http://schemas.openxmlformats.org/officeDocument/2006/relationships/fontTable" Target="fontTable.xml"></Relationship><Relationship Id="rId3" Type="http://schemas.openxmlformats.org/officeDocument/2006/relationships/settings" Target="settings.xml"></Relationship><Relationship Id="rId7" Type="http://schemas.openxmlformats.org/officeDocument/2006/relationships/header" Target="header1.xml"></Relationship><Relationship Id="rId2" Type="http://schemas.openxmlformats.org/officeDocument/2006/relationships/styles" Target="styles.xml"></Relationship><Relationship Id="rId1" Type="http://schemas.openxmlformats.org/officeDocument/2006/relationships/numbering" Target="numbering.xml"></Relationship><Relationship Id="rId6" Type="http://schemas.openxmlformats.org/officeDocument/2006/relationships/endnotes" Target="endnotes.xml"></Relationship><Relationship Id="rId5" Type="http://schemas.openxmlformats.org/officeDocument/2006/relationships/footnotes" Target="footnotes.xml"></Relationship><Relationship Id="rId4" Type="http://schemas.openxmlformats.org/officeDocument/2006/relationships/webSettings" Target="webSettings.xml"></Relationship><Relationship Id="rId9" Type="http://schemas.openxmlformats.org/officeDocument/2006/relationships/theme" Target="theme/theme1.xml"></Relationship><Relationship Id="rId10" Type="http://schemas.openxmlformats.org/officeDocument/2006/relationships/customXml" Target="../customXml/item1.xml"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Relationship Id="rId1" Type="http://schemas.openxmlformats.org/officeDocument/2006/relationships/customXmlProps" Target="itemProps1.xml" /></Relationships>
</file>

<file path=customXml/item1.xml><?xml version="1.0" encoding="utf-8"?>
<f:fields xmlns:f="http://schemas.fabasoft.com/folio/2007/fields" catsource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1984</Words>
  <Characters>13531</Characters>
  <Application>Microsoft Office Word</Application>
  <DocSecurity>0</DocSecurity>
  <Lines>112</Lines>
  <Paragraphs>30</Paragraphs>
  <ScaleCrop>false</ScaleCrop>
  <HeadingPairs>
    <vt:vector size="2" baseType="variant">
      <vt:variant>
        <vt:lpstr>Titel</vt:lpstr>
      </vt:variant>
      <vt:variant>
        <vt:i4>1</vt:i4>
      </vt:variant>
    </vt:vector>
  </HeadingPairs>
  <TitlesOfParts>
    <vt:vector size="1" baseType="lpstr">
      <vt:lpstr/>
    </vt:vector>
  </TitlesOfParts>
  <Company>Ref 8103</Company>
  <LinksUpToDate>false</LinksUpToDate>
  <CharactersWithSpaces>15485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Beutel, Daniel (Ref. 8105)</dc:creator>
  <cp:keywords/>
  <dc:description/>
  <cp:lastModifiedBy>Cox, Nadine (Ref. 8105)</cp:lastModifiedBy>
  <cp:revision>3</cp:revision>
  <dcterms:created xsi:type="dcterms:W3CDTF">2023-02-02T09:23:00Z</dcterms:created>
  <dcterms:modified xsi:type="dcterms:W3CDTF">2023-02-02T09:32:00Z</dcterms:modified>
</cp:coreProperties>
</file>

<file path=docProps/custom.xml><?xml version="1.0" encoding="utf-8"?>
<Properties xmlns="http://schemas.openxmlformats.org/officeDocument/2006/custom-properties" xmlns:vt="http://schemas.openxmlformats.org/officeDocument/2006/docPropsVTypes">
  <property name="FSC#RLPCFG@15.1700:File_SpecReferenceName" pid="2" fmtid="{D5CDD505-2E9C-101B-9397-08002B2CF9AE}">
    <vt:lpwstr/>
  </property>
  <property name="FSC#RLPCFG@15.1700:File_Filereference" pid="3" fmtid="{D5CDD505-2E9C-101B-9397-08002B2CF9AE}">
    <vt:lpwstr>6005-0023-0801 8507</vt:lpwstr>
  </property>
  <property name="FSC#RLPCFG@15.1700:File_RLPFilereference" pid="4" fmtid="{D5CDD505-2E9C-101B-9397-08002B2CF9AE}">
    <vt:lpwstr>6005-0023</vt:lpwstr>
  </property>
  <property name="FSC#RLPCFG@15.1700:File_FileRespOrg" pid="5" fmtid="{D5CDD505-2E9C-101B-9397-08002B2CF9AE}">
    <vt:lpwstr>0801 8507 - Wein- und Agrarmarketing, Agrarforschung, Staatsweingüter</vt:lpwstr>
  </property>
  <property name="FSC#RLPCFG@15.1700:File_Subject" pid="6" fmtid="{D5CDD505-2E9C-101B-9397-08002B2CF9AE}">
    <vt:lpwstr>Institutionen</vt:lpwstr>
  </property>
  <property name="FSC#RLPCFG@15.1700:File_RegistryMark" pid="7" fmtid="{D5CDD505-2E9C-101B-9397-08002B2CF9AE}">
    <vt:lpwstr/>
  </property>
  <property name="FSC#RLPCFG@15.1700:File_Keywords" pid="8" fmtid="{D5CDD505-2E9C-101B-9397-08002B2CF9AE}">
    <vt:lpwstr/>
  </property>
  <property name="FSC#RLPCFG@15.1700:File_Freetext_1" pid="9" fmtid="{D5CDD505-2E9C-101B-9397-08002B2CF9AE}">
    <vt:lpwstr>GZ-Alt Domea: 104-61 40_x000d__x000a_letzter Bearbeiter: 8503 Aktenraum_x000d__x000a_ </vt:lpwstr>
  </property>
  <property name="FSC#RLPCFG@15.1700:File_Freetext_2" pid="10" fmtid="{D5CDD505-2E9C-101B-9397-08002B2CF9AE}">
    <vt:lpwstr/>
  </property>
  <property name="FSC#RLPCFG@15.1700:File_Freetext_3" pid="11" fmtid="{D5CDD505-2E9C-101B-9397-08002B2CF9AE}">
    <vt:lpwstr/>
  </property>
  <property name="FSC#RLPCFG@15.1700:Procedure_Filereference" pid="12" fmtid="{D5CDD505-2E9C-101B-9397-08002B2CF9AE}">
    <vt:lpwstr>6005-0023#2026/0002-0801 8507</vt:lpwstr>
  </property>
  <property name="FSC#RLPCFG@15.1700:Procedure_Subject" pid="13" fmtid="{D5CDD505-2E9C-101B-9397-08002B2CF9AE}">
    <vt:lpwstr>FDW - Fachtagung 12. und 13. Mai 2026 Bad Kreuznach</vt:lpwstr>
  </property>
  <property name="FSC#RLPCFG@15.1700:Procedure_Fileresp_Firstname" pid="14" fmtid="{D5CDD505-2E9C-101B-9397-08002B2CF9AE}">
    <vt:lpwstr>Peter</vt:lpwstr>
  </property>
  <property name="FSC#RLPCFG@15.1700:Procedure_Fileresp_Title" pid="15" fmtid="{D5CDD505-2E9C-101B-9397-08002B2CF9AE}">
    <vt:lpwstr/>
  </property>
  <property name="FSC#RLPCFG@15.1700:Procedure_Fileresp_Lastname" pid="16" fmtid="{D5CDD505-2E9C-101B-9397-08002B2CF9AE}">
    <vt:lpwstr>Eichler</vt:lpwstr>
  </property>
  <property name="FSC#RLPCFG@15.1700:Procedure_Fileresp_OU" pid="17" fmtid="{D5CDD505-2E9C-101B-9397-08002B2CF9AE}">
    <vt:lpwstr>0801 8507 - Wein- und Agrarmarketing, Agrarforschung, Staatsweingüter</vt:lpwstr>
  </property>
  <property name="FSC#RLPCFG@15.1700:Procedure_Filenotice" pid="18" fmtid="{D5CDD505-2E9C-101B-9397-08002B2CF9AE}">
    <vt:lpwstr/>
  </property>
  <property name="FSC#RLPCFG@15.1700:Procedure_Keywords" pid="19" fmtid="{D5CDD505-2E9C-101B-9397-08002B2CF9AE}">
    <vt:lpwstr/>
  </property>
  <property name="FSC#RLPCFG@15.1700:Procedure_Freetext_1" pid="20" fmtid="{D5CDD505-2E9C-101B-9397-08002B2CF9AE}">
    <vt:lpwstr/>
  </property>
  <property name="FSC#RLPCFG@15.1700:Procedure_Freetext_2" pid="21" fmtid="{D5CDD505-2E9C-101B-9397-08002B2CF9AE}">
    <vt:lpwstr/>
  </property>
  <property name="FSC#RLPCFG@15.1700:Procedure_Freetext_3" pid="22" fmtid="{D5CDD505-2E9C-101B-9397-08002B2CF9AE}">
    <vt:lpwstr/>
  </property>
  <property name="FSC#RLPCFG@15.1700:Procedure_Old_Filereference" pid="23" fmtid="{D5CDD505-2E9C-101B-9397-08002B2CF9AE}">
    <vt:lpwstr/>
  </property>
  <property name="FSC#RLPCFG@15.1700:Outgoing_Filereference" pid="24" fmtid="{D5CDD505-2E9C-101B-9397-08002B2CF9AE}">
    <vt:lpwstr/>
  </property>
  <property name="FSC#RLPCFG@15.1700:Outgoing_Filesubj" pid="25" fmtid="{D5CDD505-2E9C-101B-9397-08002B2CF9AE}">
    <vt:lpwstr/>
  </property>
  <property name="FSC#RLPCFG@15.1700:Outgoing_Freetext_1" pid="26" fmtid="{D5CDD505-2E9C-101B-9397-08002B2CF9AE}">
    <vt:lpwstr/>
  </property>
  <property name="FSC#RLPCFG@15.1700:Outgoing_Freetext_2" pid="27" fmtid="{D5CDD505-2E9C-101B-9397-08002B2CF9AE}">
    <vt:lpwstr/>
  </property>
  <property name="FSC#RLPCFG@15.1700:Outgoing_Freetext_3" pid="28" fmtid="{D5CDD505-2E9C-101B-9397-08002B2CF9AE}">
    <vt:lpwstr/>
  </property>
  <property name="FSC#RLPCFG@15.1700:Outgoing_Keywords" pid="29" fmtid="{D5CDD505-2E9C-101B-9397-08002B2CF9AE}">
    <vt:lpwstr/>
  </property>
  <property name="FSC#RLPCFG@15.1700:Outgoing_Old_Filereference" pid="30" fmtid="{D5CDD505-2E9C-101B-9397-08002B2CF9AE}">
    <vt:lpwstr/>
  </property>
  <property name="FSC#RLPCFG@15.1700:Outgoing_Author_Title" pid="31" fmtid="{D5CDD505-2E9C-101B-9397-08002B2CF9AE}">
    <vt:lpwstr/>
  </property>
  <property name="FSC#RLPCFG@15.1700:Outgoing_Author_Firstname" pid="32" fmtid="{D5CDD505-2E9C-101B-9397-08002B2CF9AE}">
    <vt:lpwstr/>
  </property>
  <property name="FSC#RLPCFG@15.1700:Outgoing_Author_Lastname" pid="33" fmtid="{D5CDD505-2E9C-101B-9397-08002B2CF9AE}">
    <vt:lpwstr/>
  </property>
  <property name="FSC#RLPCFG@15.1700:Outgoing_Author_Email" pid="34" fmtid="{D5CDD505-2E9C-101B-9397-08002B2CF9AE}">
    <vt:lpwstr/>
  </property>
  <property name="FSC#RLPCFG@15.1700:Outgoing_Author_Telephone" pid="35" fmtid="{D5CDD505-2E9C-101B-9397-08002B2CF9AE}">
    <vt:lpwstr/>
  </property>
  <property name="FSC#RLPCFG@15.1700:Outgoing_Author_Fax" pid="36" fmtid="{D5CDD505-2E9C-101B-9397-08002B2CF9AE}">
    <vt:lpwstr/>
  </property>
  <property name="FSC#RLPCFG@15.1700:Outgoing_FinalSign_Title" pid="37" fmtid="{D5CDD505-2E9C-101B-9397-08002B2CF9AE}">
    <vt:lpwstr/>
  </property>
  <property name="FSC#RLPCFG@15.1700:Outgoing_FinalSign_Firstname" pid="38" fmtid="{D5CDD505-2E9C-101B-9397-08002B2CF9AE}">
    <vt:lpwstr/>
  </property>
  <property name="FSC#RLPCFG@15.1700:Outgoing_FinalSign_Lastname" pid="39" fmtid="{D5CDD505-2E9C-101B-9397-08002B2CF9AE}">
    <vt:lpwstr/>
  </property>
  <property name="FSC#RLPCFG@15.1700:Outgoing_FinalSign_Email" pid="40" fmtid="{D5CDD505-2E9C-101B-9397-08002B2CF9AE}">
    <vt:lpwstr/>
  </property>
  <property name="FSC#RLPCFG@15.1700:Outgoing_FinalSign_Telephone" pid="41" fmtid="{D5CDD505-2E9C-101B-9397-08002B2CF9AE}">
    <vt:lpwstr/>
  </property>
  <property name="FSC#RLPCFG@15.1700:Outgoing_FinalSign_Fax" pid="42" fmtid="{D5CDD505-2E9C-101B-9397-08002B2CF9AE}">
    <vt:lpwstr/>
  </property>
  <property name="FSC#RLPCFG@15.1700:Outgoing_FinalSign_Date" pid="43" fmtid="{D5CDD505-2E9C-101B-9397-08002B2CF9AE}">
    <vt:lpwstr/>
  </property>
  <property name="FSC#RLPCFG@15.1700:Outgoing_FinalSign_Date_2" pid="44" fmtid="{D5CDD505-2E9C-101B-9397-08002B2CF9AE}">
    <vt:lpwstr/>
  </property>
  <property name="FSC#RLPCFG@15.1700:Outgoing_FinalSign_LastDate" pid="45" fmtid="{D5CDD505-2E9C-101B-9397-08002B2CF9AE}">
    <vt:lpwstr/>
  </property>
  <property name="FSC#RLPCFG@15.1700:Outgoing_objcreatedat" pid="46" fmtid="{D5CDD505-2E9C-101B-9397-08002B2CF9AE}">
    <vt:lpwstr/>
  </property>
  <property name="FSC#RLPCFG@15.1700:Outgoing_docdate" pid="47" fmtid="{D5CDD505-2E9C-101B-9397-08002B2CF9AE}">
    <vt:lpwstr/>
  </property>
  <property name="FSC#RLPCFG@15.1700:Outgoing_OrganisationName" pid="48" fmtid="{D5CDD505-2E9C-101B-9397-08002B2CF9AE}">
    <vt:lpwstr/>
  </property>
  <property name="FSC#RLPCFG@15.1700:Outgoing_OrganisationStreet" pid="49" fmtid="{D5CDD505-2E9C-101B-9397-08002B2CF9AE}">
    <vt:lpwstr/>
  </property>
  <property name="FSC#RLPCFG@15.1700:Outgoing_OrganisationHousenumber" pid="50" fmtid="{D5CDD505-2E9C-101B-9397-08002B2CF9AE}">
    <vt:lpwstr/>
  </property>
  <property name="FSC#RLPCFG@15.1700:Outgoing_OrganisationZipCode" pid="51" fmtid="{D5CDD505-2E9C-101B-9397-08002B2CF9AE}">
    <vt:lpwstr/>
  </property>
  <property name="FSC#RLPCFG@15.1700:Outgoing_OrganisationCity" pid="52" fmtid="{D5CDD505-2E9C-101B-9397-08002B2CF9AE}">
    <vt:lpwstr/>
  </property>
  <property name="FSC#RLPCFG@15.1700:Outgoing_OrganisationCountry" pid="53" fmtid="{D5CDD505-2E9C-101B-9397-08002B2CF9AE}">
    <vt:lpwstr/>
  </property>
  <property name="FSC#RLPCFG@15.1700:Outgoing_OrganisationPOBox" pid="54" fmtid="{D5CDD505-2E9C-101B-9397-08002B2CF9AE}">
    <vt:lpwstr/>
  </property>
  <property name="FSC#RLPCFG@15.1700:Outgoing_OrganisationDescription" pid="55" fmtid="{D5CDD505-2E9C-101B-9397-08002B2CF9AE}">
    <vt:lpwstr/>
  </property>
  <property name="FSC#RLPCFG@15.1700:Outgoing_OrganisationTelnumber" pid="56" fmtid="{D5CDD505-2E9C-101B-9397-08002B2CF9AE}">
    <vt:lpwstr/>
  </property>
  <property name="FSC#RLPCFG@15.1700:Outgoing_OrganisationFax" pid="57" fmtid="{D5CDD505-2E9C-101B-9397-08002B2CF9AE}">
    <vt:lpwstr/>
  </property>
  <property name="FSC#RLPCFG@15.1700:Outgoing_OrganisationEmail" pid="58" fmtid="{D5CDD505-2E9C-101B-9397-08002B2CF9AE}">
    <vt:lpwstr/>
  </property>
  <property name="FSC#RLPCFG@15.1700:SubFileDocument_objowngroup_grsupergroups_grshortname" pid="59" fmtid="{D5CDD505-2E9C-101B-9397-08002B2CF9AE}">
    <vt:lpwstr>0801 85</vt:lpwstr>
  </property>
  <property name="FSC#RLPCFG@15.1700:SubFileDocument_objowngroup_grshortname" pid="60" fmtid="{D5CDD505-2E9C-101B-9397-08002B2CF9AE}">
    <vt:lpwstr>0801 8507</vt:lpwstr>
  </property>
  <property name="FSC#RLPCFG@15.1700:SubFileDocument_objowngroup_grshortname_special" pid="61" fmtid="{D5CDD505-2E9C-101B-9397-08002B2CF9AE}">
    <vt:lpwstr>8507</vt:lpwstr>
  </property>
  <property name="FSC#RLPCFG@15.1700:SubFileDocument_Foreignnr" pid="62" fmtid="{D5CDD505-2E9C-101B-9397-08002B2CF9AE}">
    <vt:lpwstr/>
  </property>
  <property name="FSC#RLPCFG@15.1700:ContentObject_Group_Name" pid="63" fmtid="{D5CDD505-2E9C-101B-9397-08002B2CF9AE}">
    <vt:lpwstr>Wein- und Agrarmarketing, Agrarforschung, Staatsweingüter</vt:lpwstr>
  </property>
  <property name="FSC#RLPCFG@15.1700:ContentObject_Group_AddrDesc" pid="64" fmtid="{D5CDD505-2E9C-101B-9397-08002B2CF9AE}">
    <vt:lpwstr/>
  </property>
  <property name="FSC#RLPCFG@15.1700:ContentObject_Group_AddrStreet" pid="65" fmtid="{D5CDD505-2E9C-101B-9397-08002B2CF9AE}">
    <vt:lpwstr/>
  </property>
  <property name="FSC#RLPCFG@15.1700:ContentObject_Group_AddrOn" pid="66" fmtid="{D5CDD505-2E9C-101B-9397-08002B2CF9AE}">
    <vt:lpwstr/>
  </property>
  <property name="FSC#RLPCFG@15.1700:ContentObject_Group_AddrZipCode" pid="67" fmtid="{D5CDD505-2E9C-101B-9397-08002B2CF9AE}">
    <vt:lpwstr/>
  </property>
  <property name="FSC#RLPCFG@15.1700:ContentObject_Group_AddrCity" pid="68" fmtid="{D5CDD505-2E9C-101B-9397-08002B2CF9AE}">
    <vt:lpwstr/>
  </property>
  <property name="FSC#RLPCFG@15.1700:ContentObject_Group_AddrCountry" pid="69" fmtid="{D5CDD505-2E9C-101B-9397-08002B2CF9AE}">
    <vt:lpwstr/>
  </property>
  <property name="FSC#RLPCFG@15.1700:ContentObject_Group_AddrPOBox" pid="70" fmtid="{D5CDD505-2E9C-101B-9397-08002B2CF9AE}">
    <vt:lpwstr/>
  </property>
  <property name="FSC#RLPCFG@15.1700:ContentObject_Group_AddrPOBoxZipCode" pid="71" fmtid="{D5CDD505-2E9C-101B-9397-08002B2CF9AE}">
    <vt:lpwstr/>
  </property>
  <property name="FSC#RLPCFG@15.1700:ContentObject_Group_Telnumber" pid="72" fmtid="{D5CDD505-2E9C-101B-9397-08002B2CF9AE}">
    <vt:lpwstr/>
  </property>
  <property name="FSC#RLPCFG@15.1700:ContentObject_Group_Fax" pid="73" fmtid="{D5CDD505-2E9C-101B-9397-08002B2CF9AE}">
    <vt:lpwstr/>
  </property>
  <property name="FSC#RLPCFG@15.1700:ContentObject_Group_EMail" pid="74" fmtid="{D5CDD505-2E9C-101B-9397-08002B2CF9AE}">
    <vt:lpwstr/>
  </property>
  <property name="FSC#RLPCFG@15.1700:Procedure_diarynumber" pid="75" fmtid="{D5CDD505-2E9C-101B-9397-08002B2CF9AE}">
    <vt:lpwstr/>
  </property>
  <property name="FSC#COOELAK@1.1001:Subject" pid="76" fmtid="{D5CDD505-2E9C-101B-9397-08002B2CF9AE}">
    <vt:lpwstr>Institutionen</vt:lpwstr>
  </property>
  <property name="FSC#COOELAK@1.1001:FileReference" pid="77" fmtid="{D5CDD505-2E9C-101B-9397-08002B2CF9AE}">
    <vt:lpwstr>6005-0023-0801 8507</vt:lpwstr>
  </property>
  <property name="FSC#COOELAK@1.1001:FileRefYear" pid="78" fmtid="{D5CDD505-2E9C-101B-9397-08002B2CF9AE}">
    <vt:lpwstr>2019</vt:lpwstr>
  </property>
  <property name="FSC#COOELAK@1.1001:FileRefOrdinal" pid="79" fmtid="{D5CDD505-2E9C-101B-9397-08002B2CF9AE}">
    <vt:lpwstr>23</vt:lpwstr>
  </property>
  <property name="FSC#COOELAK@1.1001:FileRefOU" pid="80" fmtid="{D5CDD505-2E9C-101B-9397-08002B2CF9AE}">
    <vt:lpwstr>0801 8507</vt:lpwstr>
  </property>
  <property name="FSC#COOELAK@1.1001:Organization" pid="81" fmtid="{D5CDD505-2E9C-101B-9397-08002B2CF9AE}">
    <vt:lpwstr/>
  </property>
  <property name="FSC#COOELAK@1.1001:Owner" pid="82" fmtid="{D5CDD505-2E9C-101B-9397-08002B2CF9AE}">
    <vt:lpwstr>Peter Eichler</vt:lpwstr>
  </property>
  <property name="FSC#COOELAK@1.1001:OwnerExtension" pid="83" fmtid="{D5CDD505-2E9C-101B-9397-08002B2CF9AE}">
    <vt:lpwstr>2502</vt:lpwstr>
  </property>
  <property name="FSC#COOELAK@1.1001:OwnerFaxExtension" pid="84" fmtid="{D5CDD505-2E9C-101B-9397-08002B2CF9AE}">
    <vt:lpwstr/>
  </property>
  <property name="FSC#COOELAK@1.1001:DispatchedBy" pid="85" fmtid="{D5CDD505-2E9C-101B-9397-08002B2CF9AE}">
    <vt:lpwstr/>
  </property>
  <property name="FSC#COOELAK@1.1001:DispatchedAt" pid="86" fmtid="{D5CDD505-2E9C-101B-9397-08002B2CF9AE}">
    <vt:lpwstr/>
  </property>
  <property name="FSC#COOELAK@1.1001:ApprovedBy" pid="87" fmtid="{D5CDD505-2E9C-101B-9397-08002B2CF9AE}">
    <vt:lpwstr/>
  </property>
  <property name="FSC#COOELAK@1.1001:ApprovedAt" pid="88" fmtid="{D5CDD505-2E9C-101B-9397-08002B2CF9AE}">
    <vt:lpwstr/>
  </property>
  <property name="FSC#COOELAK@1.1001:Department" pid="89" fmtid="{D5CDD505-2E9C-101B-9397-08002B2CF9AE}">
    <vt:lpwstr>0801 8507 (Wein- und Agrarmarketing, Agrarforschung, Staatsweingüter)</vt:lpwstr>
  </property>
  <property name="FSC#COOELAK@1.1001:CreatedAt" pid="90" fmtid="{D5CDD505-2E9C-101B-9397-08002B2CF9AE}">
    <vt:lpwstr>14.07.2026</vt:lpwstr>
  </property>
  <property name="FSC#COOELAK@1.1001:OU" pid="91" fmtid="{D5CDD505-2E9C-101B-9397-08002B2CF9AE}">
    <vt:lpwstr>0801 8507 (Wein- und Agrarmarketing, Agrarforschung, Staatsweingüter)</vt:lpwstr>
  </property>
  <property name="FSC#COOELAK@1.1001:Priority" pid="92" fmtid="{D5CDD505-2E9C-101B-9397-08002B2CF9AE}">
    <vt:lpwstr> ()</vt:lpwstr>
  </property>
  <property name="FSC#COOELAK@1.1001:ObjBarCode" pid="93" fmtid="{D5CDD505-2E9C-101B-9397-08002B2CF9AE}">
    <vt:lpwstr>*COO.2298.107.3.3699093*</vt:lpwstr>
  </property>
  <property name="FSC#COOELAK@1.1001:RefBarCode" pid="94" fmtid="{D5CDD505-2E9C-101B-9397-08002B2CF9AE}">
    <vt:lpwstr>*COO.2298.107.3.3695824*</vt:lpwstr>
  </property>
  <property name="FSC#COOELAK@1.1001:FileRefBarCode" pid="95" fmtid="{D5CDD505-2E9C-101B-9397-08002B2CF9AE}">
    <vt:lpwstr>*6005-0023-0801 8507*</vt:lpwstr>
  </property>
  <property name="FSC#COOELAK@1.1001:ExternalRef" pid="96" fmtid="{D5CDD505-2E9C-101B-9397-08002B2CF9AE}">
    <vt:lpwstr/>
  </property>
  <property name="FSC#COOELAK@1.1001:IncomingNumber" pid="97" fmtid="{D5CDD505-2E9C-101B-9397-08002B2CF9AE}">
    <vt:lpwstr>10</vt:lpwstr>
  </property>
  <property name="FSC#COOELAK@1.1001:IncomingSubject" pid="98" fmtid="{D5CDD505-2E9C-101B-9397-08002B2CF9AE}">
    <vt:lpwstr>FDW Website Überarbeitung der Vorlagen, DLG</vt:lpwstr>
  </property>
  <property name="FSC#COOELAK@1.1001:ProcessResponsible" pid="99" fmtid="{D5CDD505-2E9C-101B-9397-08002B2CF9AE}">
    <vt:lpwstr/>
  </property>
  <property name="FSC#COOELAK@1.1001:ProcessResponsiblePhone" pid="100" fmtid="{D5CDD505-2E9C-101B-9397-08002B2CF9AE}">
    <vt:lpwstr/>
  </property>
  <property name="FSC#COOELAK@1.1001:ProcessResponsibleMail" pid="101" fmtid="{D5CDD505-2E9C-101B-9397-08002B2CF9AE}">
    <vt:lpwstr/>
  </property>
  <property name="FSC#COOELAK@1.1001:ProcessResponsibleFax" pid="102" fmtid="{D5CDD505-2E9C-101B-9397-08002B2CF9AE}">
    <vt:lpwstr/>
  </property>
  <property name="FSC#COOELAK@1.1001:ApproverFirstName" pid="103" fmtid="{D5CDD505-2E9C-101B-9397-08002B2CF9AE}">
    <vt:lpwstr/>
  </property>
  <property name="FSC#COOELAK@1.1001:ApproverSurName" pid="104" fmtid="{D5CDD505-2E9C-101B-9397-08002B2CF9AE}">
    <vt:lpwstr/>
  </property>
  <property name="FSC#COOELAK@1.1001:ApproverTitle" pid="105" fmtid="{D5CDD505-2E9C-101B-9397-08002B2CF9AE}">
    <vt:lpwstr/>
  </property>
  <property name="FSC#COOELAK@1.1001:ExternalDate" pid="106" fmtid="{D5CDD505-2E9C-101B-9397-08002B2CF9AE}">
    <vt:lpwstr/>
  </property>
  <property name="FSC#COOELAK@1.1001:SettlementApprovedAt" pid="107" fmtid="{D5CDD505-2E9C-101B-9397-08002B2CF9AE}">
    <vt:lpwstr/>
  </property>
  <property name="FSC#COOELAK@1.1001:BaseNumber" pid="108" fmtid="{D5CDD505-2E9C-101B-9397-08002B2CF9AE}">
    <vt:lpwstr>6005</vt:lpwstr>
  </property>
  <property name="FSC#COOELAK@1.1001:CurrentUserRolePos" pid="109" fmtid="{D5CDD505-2E9C-101B-9397-08002B2CF9AE}">
    <vt:lpwstr>Bearbeitung</vt:lpwstr>
  </property>
  <property name="FSC#COOELAK@1.1001:CurrentUserEmail" pid="110" fmtid="{D5CDD505-2E9C-101B-9397-08002B2CF9AE}">
    <vt:lpwstr>Peter.Eichler@mlwuf.rlp.de</vt:lpwstr>
  </property>
  <property name="FSC#ELAKGOV@1.1001:PersonalSubjGender" pid="111" fmtid="{D5CDD505-2E9C-101B-9397-08002B2CF9AE}">
    <vt:lpwstr/>
  </property>
  <property name="FSC#ELAKGOV@1.1001:PersonalSubjFirstName" pid="112" fmtid="{D5CDD505-2E9C-101B-9397-08002B2CF9AE}">
    <vt:lpwstr/>
  </property>
  <property name="FSC#ELAKGOV@1.1001:PersonalSubjSurName" pid="113" fmtid="{D5CDD505-2E9C-101B-9397-08002B2CF9AE}">
    <vt:lpwstr/>
  </property>
  <property name="FSC#ELAKGOV@1.1001:PersonalSubjSalutation" pid="114" fmtid="{D5CDD505-2E9C-101B-9397-08002B2CF9AE}">
    <vt:lpwstr/>
  </property>
  <property name="FSC#ELAKGOV@1.1001:PersonalSubjAddress" pid="115" fmtid="{D5CDD505-2E9C-101B-9397-08002B2CF9AE}">
    <vt:lpwstr/>
  </property>
  <property name="FSC#ATSTATECFG@1.1001:Office" pid="116" fmtid="{D5CDD505-2E9C-101B-9397-08002B2CF9AE}">
    <vt:lpwstr>Wein- und Agrarmarketing, Agrarforschung, Staatsweingüter</vt:lpwstr>
  </property>
  <property name="FSC#ATSTATECFG@1.1001:Agent" pid="117" fmtid="{D5CDD505-2E9C-101B-9397-08002B2CF9AE}">
    <vt:lpwstr/>
  </property>
  <property name="FSC#ATSTATECFG@1.1001:AgentPhone" pid="118" fmtid="{D5CDD505-2E9C-101B-9397-08002B2CF9AE}">
    <vt:lpwstr/>
  </property>
  <property name="FSC#ATSTATECFG@1.1001:DepartmentFax" pid="119" fmtid="{D5CDD505-2E9C-101B-9397-08002B2CF9AE}">
    <vt:lpwstr/>
  </property>
  <property name="FSC#ATSTATECFG@1.1001:DepartmentEmail" pid="120" fmtid="{D5CDD505-2E9C-101B-9397-08002B2CF9AE}">
    <vt:lpwstr/>
  </property>
  <property name="FSC#ATSTATECFG@1.1001:SubfileDate" pid="121" fmtid="{D5CDD505-2E9C-101B-9397-08002B2CF9AE}">
    <vt:lpwstr>10.07.2026</vt:lpwstr>
  </property>
  <property name="FSC#ATSTATECFG@1.1001:SubfileSubject" pid="122" fmtid="{D5CDD505-2E9C-101B-9397-08002B2CF9AE}">
    <vt:lpwstr>FDW Website Überarbeitung der Vorlagen, DLG</vt:lpwstr>
  </property>
  <property name="FSC#ATSTATECFG@1.1001:DepartmentZipCode" pid="123" fmtid="{D5CDD505-2E9C-101B-9397-08002B2CF9AE}">
    <vt:lpwstr/>
  </property>
  <property name="FSC#ATSTATECFG@1.1001:DepartmentCountry" pid="124" fmtid="{D5CDD505-2E9C-101B-9397-08002B2CF9AE}">
    <vt:lpwstr/>
  </property>
  <property name="FSC#ATSTATECFG@1.1001:DepartmentCity" pid="125" fmtid="{D5CDD505-2E9C-101B-9397-08002B2CF9AE}">
    <vt:lpwstr/>
  </property>
  <property name="FSC#ATSTATECFG@1.1001:DepartmentStreet" pid="126" fmtid="{D5CDD505-2E9C-101B-9397-08002B2CF9AE}">
    <vt:lpwstr/>
  </property>
  <property name="FSC#CCAPRECONFIGG@15.1001:DepartmentON" pid="127" fmtid="{D5CDD505-2E9C-101B-9397-08002B2CF9AE}">
    <vt:lpwstr/>
  </property>
  <property name="FSC#ATSTATECFG@1.1001:DepartmentDVR" pid="128" fmtid="{D5CDD505-2E9C-101B-9397-08002B2CF9AE}">
    <vt:lpwstr/>
  </property>
  <property name="FSC#ATSTATECFG@1.1001:DepartmentUID" pid="129" fmtid="{D5CDD505-2E9C-101B-9397-08002B2CF9AE}">
    <vt:lpwstr/>
  </property>
  <property name="FSC#ATSTATECFG@1.1001:SubfileReference" pid="130" fmtid="{D5CDD505-2E9C-101B-9397-08002B2CF9AE}">
    <vt:lpwstr>6005-0023#2026/0002-0801 8507.0010</vt:lpwstr>
  </property>
  <property name="FSC#ATSTATECFG@1.1001:Clause" pid="131" fmtid="{D5CDD505-2E9C-101B-9397-08002B2CF9AE}">
    <vt:lpwstr/>
  </property>
  <property name="FSC#ATSTATECFG@1.1001:ApprovedSignature" pid="132" fmtid="{D5CDD505-2E9C-101B-9397-08002B2CF9AE}">
    <vt:lpwstr/>
  </property>
  <property name="FSC#ATSTATECFG@1.1001:BankAccount" pid="133" fmtid="{D5CDD505-2E9C-101B-9397-08002B2CF9AE}">
    <vt:lpwstr/>
  </property>
  <property name="FSC#ATSTATECFG@1.1001:BankAccountOwner" pid="134" fmtid="{D5CDD505-2E9C-101B-9397-08002B2CF9AE}">
    <vt:lpwstr/>
  </property>
  <property name="FSC#ATSTATECFG@1.1001:BankInstitute" pid="135" fmtid="{D5CDD505-2E9C-101B-9397-08002B2CF9AE}">
    <vt:lpwstr/>
  </property>
  <property name="FSC#ATSTATECFG@1.1001:BankAccountID" pid="136" fmtid="{D5CDD505-2E9C-101B-9397-08002B2CF9AE}">
    <vt:lpwstr/>
  </property>
  <property name="FSC#ATSTATECFG@1.1001:BankAccountIBAN" pid="137" fmtid="{D5CDD505-2E9C-101B-9397-08002B2CF9AE}">
    <vt:lpwstr/>
  </property>
  <property name="FSC#ATSTATECFG@1.1001:BankAccountBIC" pid="138" fmtid="{D5CDD505-2E9C-101B-9397-08002B2CF9AE}">
    <vt:lpwstr/>
  </property>
  <property name="FSC#ATSTATECFG@1.1001:BankName" pid="139" fmtid="{D5CDD505-2E9C-101B-9397-08002B2CF9AE}">
    <vt:lpwstr/>
  </property>
  <property name="FSC#COOELAK@1.1001:ObjectAddressees" pid="140" fmtid="{D5CDD505-2E9C-101B-9397-08002B2CF9AE}">
    <vt:lpwstr>Schramm, Rainer</vt:lpwstr>
  </property>
  <property name="FSC#COOELAK@1.1001:replyreference" pid="141" fmtid="{D5CDD505-2E9C-101B-9397-08002B2CF9AE}">
    <vt:lpwstr/>
  </property>
  <property name="FSC#FSCGOVDE@1.1001:FileRefOUEmail" pid="142" fmtid="{D5CDD505-2E9C-101B-9397-08002B2CF9AE}">
    <vt:lpwstr/>
  </property>
  <property name="FSC#FSCGOVDE@1.1001:ProcedureReference" pid="143" fmtid="{D5CDD505-2E9C-101B-9397-08002B2CF9AE}">
    <vt:lpwstr>6005-0023#2026/0002-0801 8507</vt:lpwstr>
  </property>
  <property name="FSC#FSCGOVDE@1.1001:FileSubject" pid="144" fmtid="{D5CDD505-2E9C-101B-9397-08002B2CF9AE}">
    <vt:lpwstr>Institutionen</vt:lpwstr>
  </property>
  <property name="FSC#FSCGOVDE@1.1001:ProcedureSubject" pid="145" fmtid="{D5CDD505-2E9C-101B-9397-08002B2CF9AE}">
    <vt:lpwstr>FDW - Fachtagung 12. und 13. Mai 2026 Bad Kreuznach</vt:lpwstr>
  </property>
  <property name="FSC#FSCGOVDE@1.1001:SignFinalVersionBy" pid="146" fmtid="{D5CDD505-2E9C-101B-9397-08002B2CF9AE}">
    <vt:lpwstr/>
  </property>
  <property name="FSC#FSCGOVDE@1.1001:SignFinalVersionAt" pid="147" fmtid="{D5CDD505-2E9C-101B-9397-08002B2CF9AE}">
    <vt:lpwstr/>
  </property>
  <property name="FSC#FSCGOVDE@1.1001:ProcedureRefBarCode" pid="148" fmtid="{D5CDD505-2E9C-101B-9397-08002B2CF9AE}">
    <vt:lpwstr>6005-0023#2026/0002-0801 8507</vt:lpwstr>
  </property>
  <property name="FSC#FSCGOVDE@1.1001:FileAddSubj" pid="149" fmtid="{D5CDD505-2E9C-101B-9397-08002B2CF9AE}">
    <vt:lpwstr/>
  </property>
  <property name="FSC#FSCGOVDE@1.1001:DocumentSubj" pid="150" fmtid="{D5CDD505-2E9C-101B-9397-08002B2CF9AE}">
    <vt:lpwstr>FDW Website Überarbeitung der Vorlagen, DLG</vt:lpwstr>
  </property>
  <property name="FSC#FSCGOVDE@1.1001:FileRel" pid="151" fmtid="{D5CDD505-2E9C-101B-9397-08002B2CF9AE}">
    <vt:lpwstr/>
  </property>
  <property name="FSC#DEPRECONFIG@15.1001:DocumentTitle" pid="152" fmtid="{D5CDD505-2E9C-101B-9397-08002B2CF9AE}">
    <vt:lpwstr>FDW Website</vt:lpwstr>
  </property>
  <property name="FSC#DEPRECONFIG@15.1001:ProcedureTitle" pid="153" fmtid="{D5CDD505-2E9C-101B-9397-08002B2CF9AE}">
    <vt:lpwstr/>
  </property>
  <property name="FSC#DEPRECONFIG@15.1001:AuthorTitle" pid="154" fmtid="{D5CDD505-2E9C-101B-9397-08002B2CF9AE}">
    <vt:lpwstr/>
  </property>
  <property name="FSC#DEPRECONFIG@15.1001:AuthorSalution" pid="155" fmtid="{D5CDD505-2E9C-101B-9397-08002B2CF9AE}">
    <vt:lpwstr/>
  </property>
  <property name="FSC#DEPRECONFIG@15.1001:AuthorName" pid="156" fmtid="{D5CDD505-2E9C-101B-9397-08002B2CF9AE}">
    <vt:lpwstr>Peter Eichler</vt:lpwstr>
  </property>
  <property name="FSC#DEPRECONFIG@15.1001:AuthorMail" pid="157" fmtid="{D5CDD505-2E9C-101B-9397-08002B2CF9AE}">
    <vt:lpwstr>Peter.Eichler@mlwuf.rlp.de</vt:lpwstr>
  </property>
  <property name="FSC#DEPRECONFIG@15.1001:AuthorTelephone" pid="158" fmtid="{D5CDD505-2E9C-101B-9397-08002B2CF9AE}">
    <vt:lpwstr>(06131) 16-2502</vt:lpwstr>
  </property>
  <property name="FSC#DEPRECONFIG@15.1001:AuthorFax" pid="159" fmtid="{D5CDD505-2E9C-101B-9397-08002B2CF9AE}">
    <vt:lpwstr/>
  </property>
  <property name="FSC#DEPRECONFIG@15.1001:AuthorOE" pid="160" fmtid="{D5CDD505-2E9C-101B-9397-08002B2CF9AE}">
    <vt:lpwstr>0801 8507 (Wein- und Agrarmarketing, Agrarforschung, Staatsweingüter)</vt:lpwstr>
  </property>
  <property name="FSC#COOSYSTEM@1.1:Container" pid="161" fmtid="{D5CDD505-2E9C-101B-9397-08002B2CF9AE}">
    <vt:lpwstr>COO.2298.107.3.3699093</vt:lpwstr>
  </property>
  <property name="FSC#FSCFOLIO@1.1001:docpropproject" pid="162" fmtid="{D5CDD505-2E9C-101B-9397-08002B2CF9AE}">
    <vt:lpwstr/>
  </property>
  <property name="FSC#CCAPRECONFIGG@15.1001:DepartmentWebsite" pid="163" fmtid="{D5CDD505-2E9C-101B-9397-08002B2CF9AE}">
    <vt:lpwstr/>
  </property>
  <property name="FSC#COOELAK@1.1001:OfficeHours" pid="164" fmtid="{D5CDD505-2E9C-101B-9397-08002B2CF9AE}">
    <vt:lpwstr/>
  </property>
  <property name="FSC#COOELAK@1.1001:FileRefOULong" pid="165" fmtid="{D5CDD505-2E9C-101B-9397-08002B2CF9AE}">
    <vt:lpwstr>Wein- und Agrarmarketing, Agrarforschung, Staatsweingüter</vt:lpwstr>
  </property>
</Properties>
</file>